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83DFC" w14:textId="77777777" w:rsidR="00155EF0" w:rsidRPr="00F00722" w:rsidRDefault="00593B88" w:rsidP="00155EF0">
      <w:pPr>
        <w:jc w:val="center"/>
        <w:rPr>
          <w:b/>
          <w:sz w:val="40"/>
          <w:szCs w:val="40"/>
        </w:rPr>
      </w:pPr>
      <w:r>
        <w:rPr>
          <w:noProof/>
        </w:rPr>
        <w:pict w14:anchorId="2E61C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Une image contenant texte, Police, graphisme, Graphique&#10;&#10;Le contenu généré par l’IA peut être incorrect." style="width:106.2pt;height:108pt;mso-wrap-distance-left:0;mso-wrap-distance-right:0">
            <v:imagedata r:id="rId8" o:title=""/>
          </v:shape>
        </w:pict>
      </w:r>
    </w:p>
    <w:p w14:paraId="504EAE42" w14:textId="77777777" w:rsidR="00155EF0" w:rsidRPr="00F00722" w:rsidRDefault="00155EF0" w:rsidP="00155EF0">
      <w:pPr>
        <w:jc w:val="center"/>
        <w:rPr>
          <w:b/>
          <w:sz w:val="40"/>
          <w:szCs w:val="40"/>
        </w:rPr>
      </w:pPr>
    </w:p>
    <w:p w14:paraId="757FFF47" w14:textId="331ACFF4" w:rsidR="00155EF0" w:rsidRPr="00F00722" w:rsidRDefault="005C42A0" w:rsidP="00155EF0">
      <w:pPr>
        <w:jc w:val="center"/>
        <w:rPr>
          <w:b/>
          <w:sz w:val="40"/>
          <w:szCs w:val="40"/>
        </w:rPr>
      </w:pPr>
      <w:r w:rsidRPr="005C42A0">
        <w:rPr>
          <w:b/>
          <w:sz w:val="32"/>
          <w:szCs w:val="32"/>
          <w:u w:val="single"/>
        </w:rPr>
        <w:t>Acheteur</w:t>
      </w:r>
      <w:r w:rsidRPr="005C42A0">
        <w:rPr>
          <w:b/>
          <w:sz w:val="32"/>
          <w:szCs w:val="32"/>
        </w:rPr>
        <w:t> </w:t>
      </w:r>
      <w:r>
        <w:rPr>
          <w:b/>
          <w:sz w:val="40"/>
          <w:szCs w:val="40"/>
        </w:rPr>
        <w:t>:</w:t>
      </w:r>
    </w:p>
    <w:p w14:paraId="4A7136CF" w14:textId="77777777" w:rsidR="00155EF0" w:rsidRPr="005C42A0" w:rsidRDefault="00155EF0" w:rsidP="00155EF0">
      <w:pPr>
        <w:jc w:val="center"/>
        <w:rPr>
          <w:rFonts w:cs="Arial"/>
          <w:b/>
          <w:sz w:val="32"/>
          <w:szCs w:val="32"/>
          <w:lang w:val="en-US"/>
        </w:rPr>
      </w:pPr>
      <w:r w:rsidRPr="005C42A0">
        <w:rPr>
          <w:rFonts w:cs="Arial"/>
          <w:b/>
          <w:color w:val="000000"/>
          <w:sz w:val="32"/>
          <w:szCs w:val="32"/>
          <w:lang w:val="en-US"/>
        </w:rPr>
        <w:t>Communauté de Communes du Périgord Ribéracois</w:t>
      </w:r>
    </w:p>
    <w:p w14:paraId="74509251" w14:textId="77777777" w:rsidR="00155EF0" w:rsidRPr="005C42A0" w:rsidRDefault="00155EF0" w:rsidP="00155EF0">
      <w:pPr>
        <w:jc w:val="center"/>
        <w:rPr>
          <w:rFonts w:cs="Arial"/>
          <w:bCs/>
          <w:sz w:val="24"/>
          <w:lang w:val="en-US"/>
        </w:rPr>
      </w:pPr>
      <w:r w:rsidRPr="005C42A0">
        <w:rPr>
          <w:rFonts w:cs="Arial"/>
          <w:bCs/>
          <w:color w:val="000000"/>
          <w:sz w:val="24"/>
          <w:lang w:val="en-US"/>
        </w:rPr>
        <w:t xml:space="preserve">11 Rue </w:t>
      </w:r>
      <w:proofErr w:type="spellStart"/>
      <w:r w:rsidRPr="005C42A0">
        <w:rPr>
          <w:rFonts w:cs="Arial"/>
          <w:bCs/>
          <w:color w:val="000000"/>
          <w:sz w:val="24"/>
          <w:lang w:val="en-US"/>
        </w:rPr>
        <w:t>Couleau</w:t>
      </w:r>
      <w:proofErr w:type="spellEnd"/>
      <w:r w:rsidRPr="005C42A0">
        <w:rPr>
          <w:rFonts w:cs="Arial"/>
          <w:bCs/>
          <w:sz w:val="24"/>
          <w:lang w:val="en-US"/>
        </w:rPr>
        <w:t xml:space="preserve"> </w:t>
      </w:r>
    </w:p>
    <w:p w14:paraId="520A1593" w14:textId="77777777" w:rsidR="00155EF0" w:rsidRPr="005C42A0" w:rsidRDefault="00155EF0" w:rsidP="00155EF0">
      <w:pPr>
        <w:jc w:val="center"/>
        <w:rPr>
          <w:rFonts w:cs="Arial"/>
          <w:bCs/>
          <w:sz w:val="24"/>
          <w:lang w:val="en-US"/>
        </w:rPr>
      </w:pPr>
      <w:r w:rsidRPr="005C42A0">
        <w:rPr>
          <w:rFonts w:cs="Arial"/>
          <w:bCs/>
          <w:color w:val="000000"/>
          <w:sz w:val="24"/>
          <w:lang w:val="en-US"/>
        </w:rPr>
        <w:t>BP 10</w:t>
      </w:r>
    </w:p>
    <w:p w14:paraId="67EA94D2" w14:textId="77777777" w:rsidR="00155EF0" w:rsidRPr="005C42A0" w:rsidRDefault="00155EF0" w:rsidP="00155EF0">
      <w:pPr>
        <w:jc w:val="center"/>
        <w:rPr>
          <w:rFonts w:cs="Arial"/>
          <w:bCs/>
          <w:sz w:val="24"/>
        </w:rPr>
      </w:pPr>
      <w:r w:rsidRPr="005C42A0">
        <w:rPr>
          <w:rFonts w:cs="Arial"/>
          <w:bCs/>
          <w:color w:val="000000"/>
          <w:sz w:val="24"/>
        </w:rPr>
        <w:t>24600</w:t>
      </w:r>
      <w:r w:rsidRPr="005C42A0">
        <w:rPr>
          <w:rFonts w:cs="Arial"/>
          <w:bCs/>
          <w:sz w:val="24"/>
        </w:rPr>
        <w:t xml:space="preserve"> </w:t>
      </w:r>
      <w:r w:rsidRPr="005C42A0">
        <w:rPr>
          <w:rFonts w:cs="Arial"/>
          <w:bCs/>
          <w:color w:val="000000"/>
          <w:sz w:val="24"/>
        </w:rPr>
        <w:t>RIBERAC</w:t>
      </w:r>
    </w:p>
    <w:p w14:paraId="2D5C3620" w14:textId="77777777" w:rsidR="00155EF0" w:rsidRPr="00F00722" w:rsidRDefault="00155EF0" w:rsidP="00155EF0">
      <w:pPr>
        <w:jc w:val="center"/>
        <w:rPr>
          <w:rFonts w:cs="Arial"/>
          <w:b/>
          <w:sz w:val="28"/>
          <w:szCs w:val="28"/>
        </w:rPr>
      </w:pPr>
    </w:p>
    <w:p w14:paraId="45952A70" w14:textId="77777777" w:rsidR="00155EF0" w:rsidRDefault="00155EF0" w:rsidP="00155EF0">
      <w:pPr>
        <w:jc w:val="center"/>
        <w:rPr>
          <w:rFonts w:cs="Arial"/>
          <w:b/>
          <w:sz w:val="28"/>
          <w:szCs w:val="28"/>
        </w:rPr>
      </w:pPr>
    </w:p>
    <w:p w14:paraId="0689E91A" w14:textId="77777777" w:rsidR="00155EF0" w:rsidRPr="00617EC6" w:rsidRDefault="00155EF0" w:rsidP="00155EF0">
      <w:pPr>
        <w:jc w:val="center"/>
        <w:rPr>
          <w:rFonts w:cs="Arial"/>
          <w:b/>
          <w:sz w:val="28"/>
          <w:szCs w:val="28"/>
        </w:rPr>
      </w:pPr>
    </w:p>
    <w:p w14:paraId="005C5C7A" w14:textId="77777777" w:rsidR="00593B88" w:rsidRPr="00593B88" w:rsidRDefault="00593B88" w:rsidP="00593B88">
      <w:pPr>
        <w:spacing w:after="160" w:line="259" w:lineRule="auto"/>
        <w:jc w:val="center"/>
        <w:rPr>
          <w:color w:val="000000"/>
          <w:sz w:val="32"/>
          <w:szCs w:val="32"/>
        </w:rPr>
      </w:pPr>
      <w:r w:rsidRPr="00593B88">
        <w:rPr>
          <w:color w:val="000000"/>
          <w:sz w:val="32"/>
          <w:szCs w:val="32"/>
        </w:rPr>
        <w:t xml:space="preserve">Marché public de Maitrise d'œuvre  </w:t>
      </w:r>
    </w:p>
    <w:p w14:paraId="29DC46C2" w14:textId="77777777" w:rsidR="00155EF0" w:rsidRPr="00F00722" w:rsidRDefault="00155EF0" w:rsidP="00155EF0">
      <w:pPr>
        <w:spacing w:after="160" w:line="259" w:lineRule="auto"/>
        <w:jc w:val="center"/>
        <w:rPr>
          <w:b/>
          <w:bCs/>
          <w:sz w:val="32"/>
          <w:szCs w:val="32"/>
        </w:rPr>
      </w:pPr>
    </w:p>
    <w:p w14:paraId="0293432B" w14:textId="77777777" w:rsidR="00155EF0" w:rsidRPr="00F00722" w:rsidRDefault="00155EF0" w:rsidP="00155EF0">
      <w:pPr>
        <w:pBdr>
          <w:top w:val="single" w:sz="12" w:space="1" w:color="2F4F9D"/>
        </w:pBdr>
        <w:spacing w:after="160" w:line="259" w:lineRule="auto"/>
        <w:jc w:val="center"/>
        <w:rPr>
          <w:b/>
          <w:bCs/>
          <w:sz w:val="32"/>
          <w:szCs w:val="32"/>
        </w:rPr>
      </w:pPr>
    </w:p>
    <w:p w14:paraId="113E0288" w14:textId="77777777" w:rsidR="00593B88" w:rsidRPr="00593B88" w:rsidRDefault="00593B88" w:rsidP="00593B88">
      <w:pPr>
        <w:pBdr>
          <w:bottom w:val="single" w:sz="12" w:space="1" w:color="2F4F9D"/>
        </w:pBdr>
        <w:spacing w:after="160" w:line="259" w:lineRule="auto"/>
        <w:jc w:val="center"/>
        <w:rPr>
          <w:b/>
          <w:bCs/>
          <w:color w:val="000000"/>
          <w:sz w:val="32"/>
          <w:szCs w:val="32"/>
        </w:rPr>
      </w:pPr>
      <w:r w:rsidRPr="00593B88">
        <w:rPr>
          <w:b/>
          <w:bCs/>
          <w:color w:val="000000"/>
          <w:sz w:val="32"/>
          <w:szCs w:val="32"/>
        </w:rPr>
        <w:t>Marché de maitrise d'œuvre pour la réalisation d'une passerelle piétonne de franchissement de la rivière Dronne sur la commune de Saint -Méard de Dronne (24)</w:t>
      </w:r>
    </w:p>
    <w:p w14:paraId="43438F88" w14:textId="77777777" w:rsidR="00155EF0" w:rsidRPr="00F00722" w:rsidRDefault="00155EF0" w:rsidP="00155EF0">
      <w:pPr>
        <w:pBdr>
          <w:bottom w:val="single" w:sz="12" w:space="1" w:color="2F4F9D"/>
        </w:pBdr>
        <w:spacing w:after="160" w:line="259" w:lineRule="auto"/>
        <w:jc w:val="center"/>
        <w:rPr>
          <w:b/>
          <w:bCs/>
          <w:iCs/>
          <w:sz w:val="32"/>
          <w:szCs w:val="32"/>
        </w:rPr>
      </w:pPr>
    </w:p>
    <w:p w14:paraId="11E6251C" w14:textId="77777777" w:rsidR="00155EF0" w:rsidRPr="00365AA6" w:rsidRDefault="00155EF0" w:rsidP="00155EF0">
      <w:pPr>
        <w:rPr>
          <w:sz w:val="32"/>
          <w:szCs w:val="32"/>
        </w:rPr>
      </w:pPr>
    </w:p>
    <w:p w14:paraId="452A53CD" w14:textId="77777777" w:rsidR="00155EF0" w:rsidRPr="00365AA6" w:rsidRDefault="00155EF0" w:rsidP="00155EF0">
      <w:pPr>
        <w:rPr>
          <w:sz w:val="32"/>
          <w:szCs w:val="32"/>
        </w:rPr>
      </w:pPr>
    </w:p>
    <w:p w14:paraId="03DDB4E5" w14:textId="7C6663BD" w:rsidR="00155EF0" w:rsidRPr="005C42A0" w:rsidRDefault="005C42A0" w:rsidP="005C42A0">
      <w:pPr>
        <w:jc w:val="center"/>
        <w:rPr>
          <w:b/>
          <w:bCs/>
          <w:color w:val="2F4F9D"/>
          <w:sz w:val="44"/>
          <w:szCs w:val="44"/>
        </w:rPr>
      </w:pPr>
      <w:r w:rsidRPr="005C42A0">
        <w:rPr>
          <w:b/>
          <w:bCs/>
          <w:color w:val="2F4F9D"/>
          <w:sz w:val="44"/>
          <w:szCs w:val="44"/>
        </w:rPr>
        <w:t xml:space="preserve">Annexe 1 </w:t>
      </w:r>
    </w:p>
    <w:p w14:paraId="6B716B5D" w14:textId="77777777" w:rsidR="00155EF0" w:rsidRPr="00EB0204" w:rsidRDefault="00155EF0" w:rsidP="00155EF0">
      <w:pPr>
        <w:spacing w:after="160" w:line="259" w:lineRule="auto"/>
        <w:jc w:val="center"/>
        <w:rPr>
          <w:b/>
          <w:bCs/>
          <w:color w:val="2F4F9D"/>
          <w:sz w:val="44"/>
          <w:szCs w:val="44"/>
        </w:rPr>
      </w:pPr>
      <w:r w:rsidRPr="00EB0204">
        <w:rPr>
          <w:b/>
          <w:bCs/>
          <w:color w:val="2F4F9D"/>
          <w:sz w:val="44"/>
          <w:szCs w:val="44"/>
        </w:rPr>
        <w:t>Cahier des Clauses Administratives Particulières (C.C.A.P.)</w:t>
      </w:r>
    </w:p>
    <w:p w14:paraId="7930B522" w14:textId="77777777" w:rsidR="00155EF0" w:rsidRDefault="00155EF0" w:rsidP="00155EF0">
      <w:pPr>
        <w:spacing w:after="160" w:line="259" w:lineRule="auto"/>
        <w:jc w:val="center"/>
      </w:pPr>
    </w:p>
    <w:p w14:paraId="5CA1DE59" w14:textId="77777777" w:rsidR="00155EF0" w:rsidRDefault="00155EF0" w:rsidP="00155EF0">
      <w:pPr>
        <w:spacing w:after="160" w:line="259" w:lineRule="auto"/>
        <w:jc w:val="center"/>
      </w:pPr>
    </w:p>
    <w:p w14:paraId="0692EA01" w14:textId="4591E65A" w:rsidR="00155EF0" w:rsidRPr="005C42A0" w:rsidRDefault="00155EF0" w:rsidP="005C42A0">
      <w:pPr>
        <w:spacing w:after="160" w:line="259" w:lineRule="auto"/>
        <w:jc w:val="center"/>
        <w:rPr>
          <w:b/>
          <w:bCs/>
          <w:color w:val="2F4F9D"/>
          <w:sz w:val="44"/>
          <w:szCs w:val="44"/>
          <w:u w:val="single"/>
        </w:rPr>
      </w:pPr>
      <w:r>
        <w:br w:type="page"/>
      </w:r>
      <w:bookmarkStart w:id="0" w:name="_Toc179923206"/>
      <w:bookmarkStart w:id="1" w:name="_Toc256000042"/>
      <w:r w:rsidRPr="005C42A0">
        <w:rPr>
          <w:b/>
          <w:bCs/>
          <w:color w:val="2F4F9D"/>
          <w:sz w:val="44"/>
          <w:szCs w:val="44"/>
          <w:u w:val="single"/>
        </w:rPr>
        <w:lastRenderedPageBreak/>
        <w:t>Contrat de Protection des données personnelles</w:t>
      </w:r>
      <w:bookmarkEnd w:id="0"/>
      <w:bookmarkEnd w:id="1"/>
    </w:p>
    <w:p w14:paraId="4D27DE9C" w14:textId="77777777" w:rsidR="00155EF0" w:rsidRPr="002D4880" w:rsidRDefault="00155EF0" w:rsidP="00155EF0">
      <w:pPr>
        <w:pStyle w:val="Sansinterligne"/>
      </w:pPr>
      <w:r w:rsidRPr="002D4880">
        <w:t>Définitions</w:t>
      </w:r>
    </w:p>
    <w:p w14:paraId="0D93F3FF" w14:textId="77777777" w:rsidR="00155EF0" w:rsidRDefault="00155EF0" w:rsidP="00155EF0">
      <w:r>
        <w:t xml:space="preserve">« </w:t>
      </w:r>
      <w:r w:rsidRPr="00970705">
        <w:rPr>
          <w:b/>
          <w:bCs/>
        </w:rPr>
        <w:t>Données à caractère personnel</w:t>
      </w:r>
      <w:r>
        <w:t xml:space="preserve"> » désigne </w:t>
      </w:r>
      <w:r w:rsidRPr="00C1027C">
        <w:t>toute information relative à une personne physique susceptible d'être identifiée, directement ou indirectement</w:t>
      </w:r>
      <w:r>
        <w:t>, notamment par référence à un identifiant, tel qu'un nom, un numéro de téléphone, une adresse email, un numéro d'identification, des données de localisation, un identifiant en ligne, ou à un ou plusieurs éléments spécifiques propres à son identité physique, physiologique, génétique, psychique, économique, culturelle ou sociale.</w:t>
      </w:r>
    </w:p>
    <w:p w14:paraId="000431A4" w14:textId="77777777" w:rsidR="00155EF0" w:rsidRDefault="00155EF0" w:rsidP="00155EF0"/>
    <w:p w14:paraId="3BF1164D" w14:textId="0DA255AC" w:rsidR="00155EF0" w:rsidRDefault="00155EF0" w:rsidP="00155EF0">
      <w:r>
        <w:t xml:space="preserve">« </w:t>
      </w:r>
      <w:r w:rsidRPr="00C1027C">
        <w:rPr>
          <w:b/>
          <w:bCs/>
        </w:rPr>
        <w:t>Responsable de traitement</w:t>
      </w:r>
      <w:r>
        <w:t xml:space="preserve"> » désigne la personne physique ou morale, l'autorité publique, le service ou un autre organisme qui, seul ou conjointement avec d'autres, détermine les finalités et les moyens du traitement. Dans le cadre </w:t>
      </w:r>
      <w:r w:rsidR="00973706">
        <w:t>de cette annexe,</w:t>
      </w:r>
      <w:r w:rsidR="00471756">
        <w:t xml:space="preserve"> </w:t>
      </w:r>
      <w:r>
        <w:t xml:space="preserve">le responsable de traitement est identifié à l’article 7.  </w:t>
      </w:r>
    </w:p>
    <w:p w14:paraId="2AF16AE2" w14:textId="77777777" w:rsidR="00155EF0" w:rsidRDefault="00155EF0" w:rsidP="00155EF0"/>
    <w:p w14:paraId="0A9E1874" w14:textId="77777777" w:rsidR="00155EF0" w:rsidRDefault="00155EF0" w:rsidP="00155EF0">
      <w:r>
        <w:t xml:space="preserve">« </w:t>
      </w:r>
      <w:r w:rsidRPr="00C1027C">
        <w:rPr>
          <w:b/>
          <w:bCs/>
        </w:rPr>
        <w:t>Sous-traitant</w:t>
      </w:r>
      <w:r>
        <w:t xml:space="preserve"> » désigne la personne physique ou morale, l'autorité publique, le service ou un autre organisme qui traite des données à caractère personnel pour le compte du responsable de traitement. Dans le cadre de la présente annexe le sous-traitant est identifié à l’article 7. Les sous-traitants ultérieurs sont eux identifiés à l’article 10.</w:t>
      </w:r>
    </w:p>
    <w:p w14:paraId="6E1CBE07" w14:textId="77777777" w:rsidR="00155EF0" w:rsidRDefault="00155EF0" w:rsidP="00155EF0">
      <w:pPr>
        <w:rPr>
          <w:u w:val="single"/>
        </w:rPr>
      </w:pPr>
    </w:p>
    <w:p w14:paraId="5FB312F8" w14:textId="77777777" w:rsidR="00155EF0" w:rsidRPr="00970705" w:rsidRDefault="00155EF0" w:rsidP="00155EF0">
      <w:r w:rsidRPr="00C1027C">
        <w:rPr>
          <w:u w:val="single"/>
        </w:rPr>
        <w:t>Information :</w:t>
      </w:r>
      <w:r>
        <w:t xml:space="preserve"> la sous-traitance s’entend ici uniquement au sens du traitement de données. Il ne saurait ici être question de la sous-traitance au sens de la loi du 31 décembre 1975.</w:t>
      </w:r>
    </w:p>
    <w:p w14:paraId="73EB9AD1" w14:textId="77777777" w:rsidR="00155EF0" w:rsidRPr="00F00722" w:rsidRDefault="00155EF0" w:rsidP="00155EF0">
      <w:pPr>
        <w:pStyle w:val="Sansinterligne"/>
      </w:pPr>
      <w:r w:rsidRPr="00F00722">
        <w:t>Objet et champ d’application</w:t>
      </w:r>
    </w:p>
    <w:p w14:paraId="309F4541" w14:textId="77777777" w:rsidR="00155EF0" w:rsidRPr="00F00722" w:rsidRDefault="00155EF0" w:rsidP="00155EF0">
      <w:r w:rsidRPr="00F00722">
        <w:t xml:space="preserve">Les responsables du traitement et les sous-traitants énumérés </w:t>
      </w:r>
      <w:r>
        <w:t>aux articles 7 et 10</w:t>
      </w:r>
      <w:r w:rsidRPr="00F00722">
        <w:t xml:space="preserve"> ont accepté ces clauses afin de garantir le respect des dispositions de l’article 28, paragraphes 3 et 4, du règlement (UE) 2016/679 et/ou des dispositions de l’article 29, paragraphes 3 et 4, du règlement (UE) 2018/1725.</w:t>
      </w:r>
    </w:p>
    <w:p w14:paraId="693095DE" w14:textId="77777777" w:rsidR="00155EF0" w:rsidRPr="00F00722" w:rsidRDefault="00155EF0" w:rsidP="00155EF0">
      <w:pPr>
        <w:pStyle w:val="Sansinterligne"/>
      </w:pPr>
      <w:r w:rsidRPr="00F00722">
        <w:t>OBLIGATIONS DES PARTIES</w:t>
      </w:r>
    </w:p>
    <w:p w14:paraId="07F25BE4" w14:textId="77777777" w:rsidR="00155EF0" w:rsidRPr="002D4880" w:rsidRDefault="00155EF0" w:rsidP="00155EF0">
      <w:pPr>
        <w:pStyle w:val="Paragraphedeliste"/>
      </w:pPr>
      <w:r w:rsidRPr="002D4880">
        <w:t>Description du ou des traitements</w:t>
      </w:r>
    </w:p>
    <w:p w14:paraId="77BBDF10" w14:textId="77777777" w:rsidR="00155EF0" w:rsidRDefault="00155EF0" w:rsidP="00155EF0">
      <w:r w:rsidRPr="00C56473">
        <w:t xml:space="preserve">Les détails des opérations de traitement, et notamment les catégories de données à caractère personnel et les finalités du traitement pour lesquelles les données à caractère personnel sont traitées pour le compte du responsable du traitement, sont précisés à l’article </w:t>
      </w:r>
      <w:r>
        <w:t>8</w:t>
      </w:r>
      <w:r w:rsidRPr="00C56473">
        <w:t>.</w:t>
      </w:r>
    </w:p>
    <w:p w14:paraId="7D697394" w14:textId="77777777" w:rsidR="00155EF0" w:rsidRPr="00F00722" w:rsidRDefault="00155EF0" w:rsidP="00155EF0"/>
    <w:p w14:paraId="5183DDE4" w14:textId="77777777" w:rsidR="00155EF0" w:rsidRPr="00D54C7D" w:rsidRDefault="00155EF0" w:rsidP="00155EF0">
      <w:pPr>
        <w:pStyle w:val="Paragraphedeliste"/>
      </w:pPr>
      <w:r w:rsidRPr="00D54C7D">
        <w:t>Limitation de la finalité</w:t>
      </w:r>
    </w:p>
    <w:p w14:paraId="4AE447AC" w14:textId="77777777" w:rsidR="00155EF0" w:rsidRDefault="00155EF0" w:rsidP="00155EF0">
      <w:r w:rsidRPr="00F00722">
        <w:t xml:space="preserve">Le sous-traitant traite les </w:t>
      </w:r>
      <w:r w:rsidRPr="00C56473">
        <w:t xml:space="preserve">données à caractère personnel uniquement pour la ou les finalités spécifiques du traitement, telles que définies à l’article </w:t>
      </w:r>
      <w:r>
        <w:t>8</w:t>
      </w:r>
      <w:r w:rsidRPr="00C56473">
        <w:t>, sauf instruction</w:t>
      </w:r>
      <w:r w:rsidRPr="00F00722">
        <w:t xml:space="preserve"> complémentaire du responsable du traitement.</w:t>
      </w:r>
    </w:p>
    <w:p w14:paraId="329E7524" w14:textId="77777777" w:rsidR="00155EF0" w:rsidRPr="00F00722" w:rsidRDefault="00155EF0" w:rsidP="00155EF0"/>
    <w:p w14:paraId="0400AFE3" w14:textId="77777777" w:rsidR="00155EF0" w:rsidRPr="00D54C7D" w:rsidRDefault="00155EF0" w:rsidP="00155EF0">
      <w:pPr>
        <w:pStyle w:val="Paragraphedeliste"/>
      </w:pPr>
      <w:r w:rsidRPr="00D54C7D">
        <w:t>Durée du traitement des données à caractère personnel</w:t>
      </w:r>
    </w:p>
    <w:p w14:paraId="296847B8" w14:textId="77777777" w:rsidR="00155EF0" w:rsidRDefault="00155EF0" w:rsidP="00155EF0">
      <w:r w:rsidRPr="00F00722">
        <w:t xml:space="preserve">Le traitement par le sous-traitant n’a lieu que pendant la durée </w:t>
      </w:r>
      <w:r w:rsidRPr="00C56473">
        <w:t xml:space="preserve">précisée à l’article </w:t>
      </w:r>
      <w:r>
        <w:t>8</w:t>
      </w:r>
      <w:r w:rsidRPr="00C56473">
        <w:t>.</w:t>
      </w:r>
    </w:p>
    <w:p w14:paraId="209436C9" w14:textId="77777777" w:rsidR="00155EF0" w:rsidRPr="00F00722" w:rsidRDefault="00155EF0" w:rsidP="00155EF0"/>
    <w:p w14:paraId="710687CC" w14:textId="77777777" w:rsidR="00155EF0" w:rsidRPr="00D54C7D" w:rsidRDefault="00155EF0" w:rsidP="00155EF0">
      <w:pPr>
        <w:pStyle w:val="Paragraphedeliste"/>
      </w:pPr>
      <w:r w:rsidRPr="00D54C7D">
        <w:t>Sécurité du traitement</w:t>
      </w:r>
    </w:p>
    <w:p w14:paraId="22948197" w14:textId="77777777" w:rsidR="00155EF0" w:rsidRDefault="00155EF0" w:rsidP="00155EF0">
      <w:r w:rsidRPr="00F00722">
        <w:t>Le sous-traitant n’accorde aux membres de son personnel l’accès aux données à caractère personnel faisant l’objet du traitement que dans la mesure strictement nécessaire à l’exécution, à la gestion et au suivi du contrat. Le sous-traitant veille à ce que les personnes autorisées à traiter les données à caractère personnel s'engagent à respecter la confidentialité ou soient soumises à une obligation légale appropriée de confidentialité.</w:t>
      </w:r>
    </w:p>
    <w:p w14:paraId="363C47A9" w14:textId="77777777" w:rsidR="00155EF0" w:rsidRDefault="00155EF0" w:rsidP="00155EF0"/>
    <w:p w14:paraId="5D87ED1D" w14:textId="77777777" w:rsidR="00BD73E9" w:rsidRDefault="00BD73E9" w:rsidP="00155EF0"/>
    <w:p w14:paraId="1D8090A2" w14:textId="77777777" w:rsidR="00BD73E9" w:rsidRPr="00F00722" w:rsidRDefault="00BD73E9" w:rsidP="00155EF0"/>
    <w:p w14:paraId="4195F503" w14:textId="77777777" w:rsidR="00155EF0" w:rsidRPr="00D54C7D" w:rsidRDefault="00155EF0" w:rsidP="00155EF0">
      <w:pPr>
        <w:pStyle w:val="Paragraphedeliste"/>
      </w:pPr>
      <w:r w:rsidRPr="00D54C7D">
        <w:lastRenderedPageBreak/>
        <w:t>Données sensibles</w:t>
      </w:r>
    </w:p>
    <w:p w14:paraId="30E54D08" w14:textId="77777777" w:rsidR="00155EF0" w:rsidRDefault="00155EF0" w:rsidP="00155EF0">
      <w:r w:rsidRPr="00F00722">
        <w:t>Si le traitement porte sur des données à caractère personnel révélant l'origine raciale ou ethnique, les opinions politiques, les convictions religieuses ou philosophiques ou l'appartenance syndicale, ainsi que des données génétiques ou des données biométriques aux fins d'identifier une personne physique de manière unique, des données concernant la santé ou des données concernant la vie sexuelle ou l'orientation sexuelle d'une personne physique, ou des données relatives aux condamnations pénales et aux infractions («données sensibles»), le sous-traitant applique des limitations spécifiques et/ou des garanties supplémentaires.</w:t>
      </w:r>
    </w:p>
    <w:p w14:paraId="67C8F6AF" w14:textId="77777777" w:rsidR="00155EF0" w:rsidRPr="00F00722" w:rsidRDefault="00155EF0" w:rsidP="00155EF0"/>
    <w:p w14:paraId="23AC7C0E" w14:textId="77777777" w:rsidR="00155EF0" w:rsidRPr="00D54C7D" w:rsidRDefault="00155EF0" w:rsidP="00155EF0">
      <w:pPr>
        <w:pStyle w:val="Paragraphedeliste"/>
      </w:pPr>
      <w:r w:rsidRPr="00D54C7D">
        <w:t>Documentation et conformité</w:t>
      </w:r>
    </w:p>
    <w:p w14:paraId="2B1FEED1" w14:textId="77777777" w:rsidR="00155EF0" w:rsidRDefault="00155EF0" w:rsidP="00155EF0">
      <w:r w:rsidRPr="00F00722">
        <w:t>Le sous-traitant met à la disposition du responsable du traitement toutes les informations nécessaires pour démontrer le respect des obligations énoncées dans les présentes clauses et découlant directement du règlement (UE) 2016/679 et/ou du règlement (UE) 2018/1725. À la demande du responsable du traitement, le sous-traitant permet également la réalisation d’audits des activités de traitement couvertes par les présentes clauses et y contribue, à intervalles raisonnables ou en présence d’indices de non-conformité. Lorsqu’il décide d’un examen ou d’un audit, le responsable du traitement peut tenir compte des certifications pertinentes en possession du sous-traitant.</w:t>
      </w:r>
    </w:p>
    <w:p w14:paraId="03199794" w14:textId="77777777" w:rsidR="00155EF0" w:rsidRDefault="00155EF0" w:rsidP="00155EF0"/>
    <w:p w14:paraId="07D8BF78" w14:textId="77777777" w:rsidR="00155EF0" w:rsidRDefault="00155EF0" w:rsidP="00155EF0">
      <w:r w:rsidRPr="00F00722">
        <w:t>Le responsable du traitement peut décider de procéder lui-même à l’audit ou de mandater un auditeur indépendant. Les audits peuvent également comprendre des inspections dans les locaux ou les installations physiques du sous-traitant et sont, le cas échéant, effectués moyennant un préavis raisonnable.</w:t>
      </w:r>
    </w:p>
    <w:p w14:paraId="213602A4" w14:textId="77777777" w:rsidR="00155EF0" w:rsidRPr="00F00722" w:rsidRDefault="00155EF0" w:rsidP="00155EF0"/>
    <w:p w14:paraId="300FFFD9" w14:textId="77777777" w:rsidR="00155EF0" w:rsidRPr="00D54C7D" w:rsidRDefault="00155EF0" w:rsidP="00155EF0">
      <w:pPr>
        <w:pStyle w:val="Paragraphedeliste"/>
      </w:pPr>
      <w:r w:rsidRPr="00D54C7D">
        <w:t>Recours à des sous-traitants ultérieurs</w:t>
      </w:r>
    </w:p>
    <w:p w14:paraId="70D6EDDA" w14:textId="77777777" w:rsidR="00155EF0" w:rsidRDefault="00155EF0" w:rsidP="00155EF0">
      <w:r w:rsidRPr="00F00722">
        <w:t>Lorsque le sous-traitant recrute un sous-traitant ultérieur pour mener des activités de traitement spécifiques (pour le compte du responsable du traitement), il le fait au moyen d’un contrat qui impose au sous-traitant ultérieur, en substance, les mêmes obligations en matière de protection des données que celles imposées au sous-traitant en vertu des présentes clauses. Le sous-traitant veille à ce que le sous-traitant ultérieur respecte les obligations auxquelles il est lui-même soumis en vertu des présentes clauses et du règlement (UE) 2016/679 et/ou du règlement (UE) 2018/1725.</w:t>
      </w:r>
    </w:p>
    <w:p w14:paraId="006FA75E" w14:textId="77777777" w:rsidR="00155EF0" w:rsidRDefault="00155EF0" w:rsidP="00155EF0"/>
    <w:p w14:paraId="567470E0" w14:textId="77777777" w:rsidR="00155EF0" w:rsidRDefault="00155EF0" w:rsidP="00155EF0">
      <w:r w:rsidRPr="00F00722">
        <w:t>À la demande du responsable du traitement, le sous-traitant lui fournit une copie de ce contrat conclu avec le sous-traitant ultérieur et de toute modification qui y est apportée ultérieurement. Dans la mesure nécessaire à la protection des secrets d’affaires ou d’autres informations confidentielles, y compris les données à caractère personnel, le sous-traitant peut expurger le texte du contrat avant d’en diffuser une copie.</w:t>
      </w:r>
    </w:p>
    <w:p w14:paraId="4C1B3644" w14:textId="77777777" w:rsidR="00155EF0" w:rsidRPr="00F00722" w:rsidRDefault="00155EF0" w:rsidP="00155EF0"/>
    <w:p w14:paraId="4AFD9B6E" w14:textId="77777777" w:rsidR="00155EF0" w:rsidRPr="00F00722" w:rsidRDefault="00155EF0" w:rsidP="00155EF0">
      <w:r w:rsidRPr="00F00722">
        <w:t>Le sous-traitant demeure pleinement responsable, à l’égard du responsable du traitement, de l’exécution des obligations du sous-traitant ultérieur conformément au contrat conclu avec le sous-traitant ultérieur. Le sous-traitant informe le responsable du traitement de tout manquement du sous-traitant ultérieur à ses obligations contractuelles.</w:t>
      </w:r>
    </w:p>
    <w:p w14:paraId="7E40A4CC" w14:textId="77777777" w:rsidR="00155EF0" w:rsidRPr="00F00722" w:rsidRDefault="00155EF0" w:rsidP="00155EF0">
      <w:pPr>
        <w:pStyle w:val="Sansinterligne"/>
      </w:pPr>
      <w:r w:rsidRPr="00F00722">
        <w:t>Assistance au responsable du traitement</w:t>
      </w:r>
    </w:p>
    <w:p w14:paraId="10FF1E26" w14:textId="77777777" w:rsidR="00155EF0" w:rsidRDefault="00155EF0" w:rsidP="00155EF0">
      <w:r w:rsidRPr="00F00722">
        <w:t>Le sous-traitant informe sans délai le responsable du traitement de toute demande qu’il a reçue de la part de la personne concernée. Il ne donne pas lui-même suite à cette demande, à moins que le responsable du traitement des données ne l’y ait autorisé.</w:t>
      </w:r>
    </w:p>
    <w:p w14:paraId="26344AFC" w14:textId="77777777" w:rsidR="00155EF0" w:rsidRPr="00F00722" w:rsidRDefault="00155EF0" w:rsidP="00155EF0"/>
    <w:p w14:paraId="3F2D5B59" w14:textId="77777777" w:rsidR="00155EF0" w:rsidRDefault="00155EF0" w:rsidP="00155EF0">
      <w:r w:rsidRPr="00F00722">
        <w:t xml:space="preserve">Le sous-traitant prête assistance au responsable du traitement pour ce qui est de remplir l’obligation qui lui incombe de répondre aux demandes des personnes concernées d’exercer leurs droits, en tenant compte de la nature du traitement. </w:t>
      </w:r>
    </w:p>
    <w:p w14:paraId="4A1628D8" w14:textId="77777777" w:rsidR="00155EF0" w:rsidRPr="00F00722" w:rsidRDefault="00155EF0" w:rsidP="00155EF0"/>
    <w:p w14:paraId="4F29B332" w14:textId="77777777" w:rsidR="00155EF0" w:rsidRPr="00F00722" w:rsidRDefault="00155EF0" w:rsidP="00155EF0">
      <w:r w:rsidRPr="00F00722">
        <w:lastRenderedPageBreak/>
        <w:t>Outre l’obligation incombant au sous-traitant d’assister le responsable du traitement, le sous-traitant aide en outre le responsable du traitement à garantir le respect des obligations suivantes, compte tenu de la nature du traitement et des informations dont dispose le sous-traitant</w:t>
      </w:r>
      <w:r>
        <w:t xml:space="preserve"> </w:t>
      </w:r>
      <w:r w:rsidRPr="00F00722">
        <w:t>:</w:t>
      </w:r>
    </w:p>
    <w:p w14:paraId="0DCC5F02" w14:textId="77777777" w:rsidR="00155EF0" w:rsidRDefault="00155EF0" w:rsidP="00155EF0">
      <w:pPr>
        <w:numPr>
          <w:ilvl w:val="0"/>
          <w:numId w:val="27"/>
        </w:numPr>
      </w:pPr>
      <w:r w:rsidRPr="00F00722">
        <w:t>l’obligation de procéder à une évaluation de l’incidence des opérations de traitement envisagées sur la protection des données à caractère personnel lorsqu’un type de traitement est susceptible de présenter un risque élevé pour les droits et libertés des personnes physiques</w:t>
      </w:r>
      <w:r>
        <w:t> ;</w:t>
      </w:r>
    </w:p>
    <w:p w14:paraId="74657B08" w14:textId="77777777" w:rsidR="00155EF0" w:rsidRDefault="00155EF0" w:rsidP="00155EF0">
      <w:pPr>
        <w:numPr>
          <w:ilvl w:val="0"/>
          <w:numId w:val="27"/>
        </w:numPr>
      </w:pPr>
      <w:r w:rsidRPr="00F00722">
        <w:t>l’obligation de consulter l'autorité de contrôle compétente préalablement au traitement lorsqu'une analyse d'impact relative à la protection des données indique que le traitement présenterait un risque élevé si le responsable du traitement ne prenait pas de mesures pour atténuer le risque</w:t>
      </w:r>
      <w:r>
        <w:t> ;</w:t>
      </w:r>
    </w:p>
    <w:p w14:paraId="742DE1A8" w14:textId="77777777" w:rsidR="00155EF0" w:rsidRPr="00F00722" w:rsidRDefault="00155EF0" w:rsidP="00155EF0">
      <w:pPr>
        <w:numPr>
          <w:ilvl w:val="0"/>
          <w:numId w:val="27"/>
        </w:numPr>
      </w:pPr>
      <w:r w:rsidRPr="00F00722">
        <w:t>l’obligation de veiller à ce que les données à caractère personnel soient exactes et à jour, en informant sans délai le responsable du traitement si le sous-traitant apprend que les données à caractère personnel qu’il traite sont inexactes ou sont devenues obsolètes</w:t>
      </w:r>
      <w:r>
        <w:t>.</w:t>
      </w:r>
    </w:p>
    <w:p w14:paraId="1F36DEB2" w14:textId="77777777" w:rsidR="00155EF0" w:rsidRPr="00F00722" w:rsidRDefault="00155EF0" w:rsidP="00155EF0">
      <w:pPr>
        <w:pStyle w:val="Sansinterligne"/>
      </w:pPr>
      <w:r w:rsidRPr="00F00722">
        <w:t>Notification de violations de données à caractère personnel</w:t>
      </w:r>
    </w:p>
    <w:p w14:paraId="170A2576" w14:textId="77777777" w:rsidR="00155EF0" w:rsidRDefault="00155EF0" w:rsidP="00155EF0">
      <w:r w:rsidRPr="00F00722">
        <w:t>En cas de violation de données à caractère personnel, le sous-traitant coopère avec le responsable du traitement et lui prête assistance aux fins de la mise en conformité avec les obligations qui lui incombent en vertu des articles 33 et 34 du règlement (UE) 2016/679 ou des articles 34 et 35 du règlement (UE) 2018/1725, selon celui qui est applicable, en tenant compte de la nature du traitement et des informations dont dispose le sous-traitant.</w:t>
      </w:r>
    </w:p>
    <w:p w14:paraId="7B4BEEB0" w14:textId="77777777" w:rsidR="00155EF0" w:rsidRPr="00F00722" w:rsidRDefault="00155EF0" w:rsidP="00155EF0"/>
    <w:p w14:paraId="2B10D970" w14:textId="77777777" w:rsidR="00155EF0" w:rsidRPr="00D54C7D" w:rsidRDefault="00155EF0" w:rsidP="00155EF0">
      <w:pPr>
        <w:pStyle w:val="Paragraphedeliste"/>
        <w:numPr>
          <w:ilvl w:val="3"/>
          <w:numId w:val="30"/>
        </w:numPr>
      </w:pPr>
      <w:r w:rsidRPr="00D54C7D">
        <w:t>Violation de données en rapport avec des données traitées par le responsable du traitement</w:t>
      </w:r>
    </w:p>
    <w:p w14:paraId="40726F23" w14:textId="77777777" w:rsidR="00155EF0" w:rsidRPr="00F00722" w:rsidRDefault="00155EF0" w:rsidP="00155EF0">
      <w:r w:rsidRPr="00F00722">
        <w:t>En cas de violation de données à caractère personnel en rapport avec des données traitées par le responsable du traitement, le sous-traitant prête assistance au responsable du traitement :</w:t>
      </w:r>
    </w:p>
    <w:p w14:paraId="011E5634" w14:textId="77777777" w:rsidR="00155EF0" w:rsidRDefault="00155EF0" w:rsidP="00155EF0">
      <w:pPr>
        <w:numPr>
          <w:ilvl w:val="0"/>
          <w:numId w:val="27"/>
        </w:numPr>
      </w:pPr>
      <w:r w:rsidRPr="00F00722">
        <w:t>aux fins de la notification de la violation de données à caractère personnel à l’autorité de contrôle compétente, dans les meilleurs délais après que le responsable du traitement en a eu connaissance, le cas échéant (sauf si la violation de données à caractère personnel est peu susceptible d'engendrer un risque pour les droits et libertés des personnes physiques)</w:t>
      </w:r>
      <w:r>
        <w:t xml:space="preserve"> </w:t>
      </w:r>
      <w:r w:rsidRPr="00F00722">
        <w:t>;</w:t>
      </w:r>
    </w:p>
    <w:p w14:paraId="03DDBD1F" w14:textId="77777777" w:rsidR="00155EF0" w:rsidRDefault="00155EF0" w:rsidP="00155EF0">
      <w:pPr>
        <w:numPr>
          <w:ilvl w:val="0"/>
          <w:numId w:val="27"/>
        </w:numPr>
      </w:pPr>
      <w:r w:rsidRPr="00F00722">
        <w:t xml:space="preserve">aux fins de l’obtention des informations suivantes qui, conformément </w:t>
      </w:r>
      <w:r>
        <w:t>à</w:t>
      </w:r>
      <w:r w:rsidRPr="00F00722">
        <w:t xml:space="preserve"> l’article 33, paragraphe 3, du règlement (UE) 2016/679 </w:t>
      </w:r>
      <w:r>
        <w:t>et/ou de</w:t>
      </w:r>
      <w:r w:rsidRPr="00F00722">
        <w:t xml:space="preserve"> l’article 34, paragraphe 3, du règlement (UE) 2018/1725, doivent figurer dans la notification du responsable du traitement, et inclure, au moins</w:t>
      </w:r>
      <w:r>
        <w:t xml:space="preserve"> </w:t>
      </w:r>
      <w:r w:rsidRPr="00F00722">
        <w:t>:</w:t>
      </w:r>
    </w:p>
    <w:p w14:paraId="6CACF287" w14:textId="77777777" w:rsidR="00155EF0" w:rsidRDefault="00155EF0" w:rsidP="00155EF0">
      <w:pPr>
        <w:numPr>
          <w:ilvl w:val="1"/>
          <w:numId w:val="27"/>
        </w:numPr>
      </w:pPr>
      <w:r w:rsidRPr="00F00722">
        <w:t>la nature des données à caractère personnel, y compris, si possible, les catégories et le nombre approximatif de personnes concernées par la violation et les catégories et le nombre approximatif d’enregistrements de données à caractère personnel concernés</w:t>
      </w:r>
      <w:r>
        <w:t xml:space="preserve"> </w:t>
      </w:r>
      <w:r w:rsidRPr="00F00722">
        <w:t>;</w:t>
      </w:r>
    </w:p>
    <w:p w14:paraId="41E10715" w14:textId="77777777" w:rsidR="00155EF0" w:rsidRDefault="00155EF0" w:rsidP="00155EF0">
      <w:pPr>
        <w:numPr>
          <w:ilvl w:val="1"/>
          <w:numId w:val="27"/>
        </w:numPr>
      </w:pPr>
      <w:r w:rsidRPr="00F00722">
        <w:t>les conséquences probables de la violation de données à caractère personnel</w:t>
      </w:r>
      <w:r>
        <w:t xml:space="preserve"> </w:t>
      </w:r>
      <w:r w:rsidRPr="00F00722">
        <w:t>;</w:t>
      </w:r>
    </w:p>
    <w:p w14:paraId="70D989B7" w14:textId="77777777" w:rsidR="00155EF0" w:rsidRPr="00F00722" w:rsidRDefault="00155EF0" w:rsidP="00155EF0">
      <w:pPr>
        <w:numPr>
          <w:ilvl w:val="1"/>
          <w:numId w:val="27"/>
        </w:numPr>
      </w:pPr>
      <w:r w:rsidRPr="00F00722">
        <w:t>les mesures prises ou les mesures que le responsable du traitement propose de prendre pour remédier à la violation de données à caractère personnel, y compris, le cas échéant, les mesures pour en atténuer les éventuelles conséquences négatives.</w:t>
      </w:r>
    </w:p>
    <w:p w14:paraId="6485308F" w14:textId="77777777" w:rsidR="00155EF0" w:rsidRDefault="00155EF0" w:rsidP="00155EF0">
      <w:pPr>
        <w:ind w:left="720"/>
      </w:pPr>
      <w:r w:rsidRPr="00F00722">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r>
        <w:t xml:space="preserve"> </w:t>
      </w:r>
      <w:r w:rsidRPr="00F00722">
        <w:t>;</w:t>
      </w:r>
    </w:p>
    <w:p w14:paraId="64A4BA2F" w14:textId="77777777" w:rsidR="00155EF0" w:rsidRDefault="00155EF0" w:rsidP="00155EF0">
      <w:pPr>
        <w:numPr>
          <w:ilvl w:val="0"/>
          <w:numId w:val="27"/>
        </w:numPr>
      </w:pPr>
      <w:r w:rsidRPr="00F00722">
        <w:t xml:space="preserve">aux fins de la satisfaction, conformément </w:t>
      </w:r>
      <w:r>
        <w:t>à</w:t>
      </w:r>
      <w:r w:rsidRPr="00F00722">
        <w:t xml:space="preserve"> l’article 34 du règlement (UE) 2016/679 </w:t>
      </w:r>
      <w:r>
        <w:t>et/ou de</w:t>
      </w:r>
      <w:r w:rsidRPr="00F00722">
        <w:t xml:space="preserve"> l’article 35 du règlement (UE) 2018/1725, de l’obligation de communiquer dans les meilleurs délais la violation de données à caractère personnel à la personne concernée, lorsque la violation de données à caractère personnel est susceptible d’engendrer un risque élevé pour les droits et libertés des personnes physiques.</w:t>
      </w:r>
    </w:p>
    <w:p w14:paraId="78CE4B38" w14:textId="77777777" w:rsidR="00BD73E9" w:rsidRDefault="00BD73E9" w:rsidP="00BD73E9"/>
    <w:p w14:paraId="3A36CDB2" w14:textId="77777777" w:rsidR="00BD73E9" w:rsidRDefault="00BD73E9" w:rsidP="00BD73E9"/>
    <w:p w14:paraId="7127C768" w14:textId="77777777" w:rsidR="00BD73E9" w:rsidRDefault="00BD73E9" w:rsidP="00BD73E9"/>
    <w:p w14:paraId="1E878DEB" w14:textId="77777777" w:rsidR="00155EF0" w:rsidRPr="00F00722" w:rsidRDefault="00155EF0" w:rsidP="00155EF0">
      <w:pPr>
        <w:ind w:left="720"/>
      </w:pPr>
    </w:p>
    <w:p w14:paraId="515C38FA" w14:textId="77777777" w:rsidR="00155EF0" w:rsidRPr="00D54C7D" w:rsidRDefault="00155EF0" w:rsidP="00155EF0">
      <w:pPr>
        <w:pStyle w:val="Paragraphedeliste"/>
        <w:numPr>
          <w:ilvl w:val="3"/>
          <w:numId w:val="30"/>
        </w:numPr>
      </w:pPr>
      <w:r w:rsidRPr="00D54C7D">
        <w:lastRenderedPageBreak/>
        <w:t>Violation de données en rapport avec des données traitées par le sous-traitant</w:t>
      </w:r>
    </w:p>
    <w:p w14:paraId="5A02A908" w14:textId="77777777" w:rsidR="00155EF0" w:rsidRPr="00F00722" w:rsidRDefault="00155EF0" w:rsidP="00155EF0">
      <w:r w:rsidRPr="00F00722">
        <w:t>En cas de violation de données à caractère personnel en rapport avec des données traitées par le sous-traitant, celui-ci en informe le responsable du traitement dans les meilleurs délais après en avoir pris connaissance. Cette notification contient au moins :</w:t>
      </w:r>
    </w:p>
    <w:p w14:paraId="331B8C6C" w14:textId="77777777" w:rsidR="00155EF0" w:rsidRDefault="00155EF0" w:rsidP="00155EF0">
      <w:pPr>
        <w:numPr>
          <w:ilvl w:val="0"/>
          <w:numId w:val="27"/>
        </w:numPr>
      </w:pPr>
      <w:r w:rsidRPr="00F00722">
        <w:t>une description de la nature de la violation constatée (y compris, si possible, les catégories et le nombre approximatif de personnes concernées par la violation et d'enregistrements de données à caractère personnel concernés)</w:t>
      </w:r>
      <w:r>
        <w:t xml:space="preserve"> </w:t>
      </w:r>
      <w:r w:rsidRPr="00F00722">
        <w:t>;</w:t>
      </w:r>
    </w:p>
    <w:p w14:paraId="42E6D005" w14:textId="77777777" w:rsidR="00155EF0" w:rsidRDefault="00155EF0" w:rsidP="00155EF0">
      <w:pPr>
        <w:numPr>
          <w:ilvl w:val="0"/>
          <w:numId w:val="27"/>
        </w:numPr>
      </w:pPr>
      <w:r w:rsidRPr="00F00722">
        <w:t>les coordonnées d’un point de contact auprès duquel des informations supplémentaires peuvent être obtenues au sujet de la violation de données à caractère personnel</w:t>
      </w:r>
      <w:r>
        <w:t xml:space="preserve"> </w:t>
      </w:r>
      <w:r w:rsidRPr="00F00722">
        <w:t>;</w:t>
      </w:r>
    </w:p>
    <w:p w14:paraId="2BC71FEB" w14:textId="77777777" w:rsidR="00155EF0" w:rsidRDefault="00155EF0" w:rsidP="00155EF0">
      <w:pPr>
        <w:numPr>
          <w:ilvl w:val="0"/>
          <w:numId w:val="27"/>
        </w:numPr>
      </w:pPr>
      <w:r w:rsidRPr="00F00722">
        <w:t>ses conséquences probables et les mesures prises ou les mesures qu’il est proposé de prendre pour remédier à la violation, y compris pour en atténuer les éventuelles conséquences négatives.</w:t>
      </w:r>
    </w:p>
    <w:p w14:paraId="11203485" w14:textId="77777777" w:rsidR="00155EF0" w:rsidRPr="00F00722" w:rsidRDefault="00155EF0" w:rsidP="00155EF0">
      <w:pPr>
        <w:ind w:left="720"/>
      </w:pPr>
    </w:p>
    <w:p w14:paraId="1B8B83FF" w14:textId="77777777" w:rsidR="00155EF0" w:rsidRDefault="00155EF0" w:rsidP="00155EF0">
      <w:r w:rsidRPr="00F00722">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p>
    <w:p w14:paraId="52539185" w14:textId="77777777" w:rsidR="00155EF0" w:rsidRPr="00F00722" w:rsidRDefault="00155EF0" w:rsidP="00155EF0"/>
    <w:p w14:paraId="6B028AE2" w14:textId="77777777" w:rsidR="00155EF0" w:rsidRPr="00F00722" w:rsidRDefault="00155EF0" w:rsidP="00155EF0">
      <w:r w:rsidRPr="00F00722">
        <w:t xml:space="preserve">Les parties définissent à </w:t>
      </w:r>
      <w:r>
        <w:t>l’article 9</w:t>
      </w:r>
      <w:r w:rsidRPr="00F00722">
        <w:t xml:space="preserve"> tous les autres éléments que le sous-traitant doit communiquer lorsqu’il prête assistance au responsable du traitement aux fins de la satisfaction des obligations incombant à ce dernier en vertu des articles 33 et 34 du règlement (UE) 2016/679</w:t>
      </w:r>
      <w:r>
        <w:t xml:space="preserve"> et/ou</w:t>
      </w:r>
      <w:r w:rsidRPr="00F00722">
        <w:t xml:space="preserve"> des articles 34 et 35 du règlement (UE) 2018/1725.</w:t>
      </w:r>
    </w:p>
    <w:p w14:paraId="5B96EBB2" w14:textId="77777777" w:rsidR="00155EF0" w:rsidRPr="00F00722" w:rsidRDefault="00155EF0" w:rsidP="00155EF0">
      <w:pPr>
        <w:pStyle w:val="Sansinterligne"/>
      </w:pPr>
      <w:r w:rsidRPr="00D54C7D">
        <w:t>Non</w:t>
      </w:r>
      <w:r w:rsidRPr="00F00722">
        <w:t>-respect des clauses</w:t>
      </w:r>
    </w:p>
    <w:p w14:paraId="47DD0592" w14:textId="77777777" w:rsidR="00155EF0" w:rsidRDefault="00155EF0" w:rsidP="00155EF0">
      <w:r w:rsidRPr="00F00722">
        <w:t>Sans préjudice des dispositions du règlement (UE) 2016/679 et/ou du règlement (UE) 2018/1725, en cas de manquement du sous-traitant aux obligations qui lui incombent en vertu des présentes clauses, le responsable du traitement peut donner instruction au sous-traitant de suspendre le traitement des données à caractère personnel jusqu’à ce que ce dernier se soit conformé aux présentes clauses ou jusqu’à ce que le contrat soit résilié. Le sous-traitant informe rapidement le responsable du traitement s’il n’est pas en mesure de se conformer aux présentes clauses, pour quelque raison que ce soit.</w:t>
      </w:r>
    </w:p>
    <w:p w14:paraId="052BA030" w14:textId="77777777" w:rsidR="00155EF0" w:rsidRPr="00F00722" w:rsidRDefault="00155EF0" w:rsidP="00155EF0"/>
    <w:p w14:paraId="75AD055C" w14:textId="77777777" w:rsidR="00155EF0" w:rsidRPr="00F00722" w:rsidRDefault="00155EF0" w:rsidP="00155EF0">
      <w:r w:rsidRPr="00F00722">
        <w:t>Le responsable du traitement est en droit de résilier le contrat dans la mesure où il concerne le traitement de données à caractère personnel conformément aux présentes clauses si</w:t>
      </w:r>
      <w:r>
        <w:t xml:space="preserve"> </w:t>
      </w:r>
      <w:r w:rsidRPr="00F00722">
        <w:t>:</w:t>
      </w:r>
    </w:p>
    <w:p w14:paraId="09B395E8" w14:textId="77777777" w:rsidR="00155EF0" w:rsidRDefault="00155EF0" w:rsidP="00155EF0">
      <w:pPr>
        <w:numPr>
          <w:ilvl w:val="0"/>
          <w:numId w:val="27"/>
        </w:numPr>
      </w:pPr>
      <w:r w:rsidRPr="00F00722">
        <w:t>le traitement de données à caractère personnel par le sous-traitant a été suspendu par le responsable du traitement conformément au point</w:t>
      </w:r>
      <w:r>
        <w:t xml:space="preserve"> ci-dessus</w:t>
      </w:r>
      <w:r w:rsidRPr="00F00722">
        <w:t xml:space="preserve"> et le respect des présentes clauses n’est pas rétabli dans un délai raisonnable et, en tout état de cause, dans un délai d’un mois à compter de la suspension</w:t>
      </w:r>
      <w:r>
        <w:t xml:space="preserve"> </w:t>
      </w:r>
      <w:r w:rsidRPr="00F00722">
        <w:t>;</w:t>
      </w:r>
    </w:p>
    <w:p w14:paraId="498AA5F2" w14:textId="77777777" w:rsidR="00155EF0" w:rsidRDefault="00155EF0" w:rsidP="00155EF0">
      <w:pPr>
        <w:numPr>
          <w:ilvl w:val="0"/>
          <w:numId w:val="27"/>
        </w:numPr>
      </w:pPr>
      <w:r w:rsidRPr="00F00722">
        <w:t>le sous-traitant est en violation grave ou persistante des présentes clauses ou des obligations qui lui incombent en vertu du règlement (UE) 2016/679 et/ou du règlement (UE) 2018/1725</w:t>
      </w:r>
      <w:r>
        <w:t xml:space="preserve"> </w:t>
      </w:r>
      <w:r w:rsidRPr="00F00722">
        <w:t>;</w:t>
      </w:r>
    </w:p>
    <w:p w14:paraId="670D0563" w14:textId="77777777" w:rsidR="00155EF0" w:rsidRDefault="00155EF0" w:rsidP="00155EF0">
      <w:pPr>
        <w:numPr>
          <w:ilvl w:val="0"/>
          <w:numId w:val="27"/>
        </w:numPr>
      </w:pPr>
      <w:r w:rsidRPr="00F00722">
        <w:t>le sous-traitant ne se conforme pas à une décision contraignante d’une juridiction compétente ou de l’autorité de contrôle compétente/des autorités de contrôle compétentes concernant les obligations qui lui incombent en vertu des présentes clauses ou du règlement (UE) 2016/679 et/ou du règlement (UE) 2018/1725.</w:t>
      </w:r>
    </w:p>
    <w:p w14:paraId="799483F3" w14:textId="77777777" w:rsidR="00155EF0" w:rsidRPr="00F00722" w:rsidRDefault="00155EF0" w:rsidP="00155EF0">
      <w:pPr>
        <w:ind w:left="720"/>
      </w:pPr>
    </w:p>
    <w:p w14:paraId="5196EB13" w14:textId="77777777" w:rsidR="00155EF0" w:rsidRDefault="00155EF0" w:rsidP="00155EF0">
      <w:r w:rsidRPr="00F00722">
        <w:t xml:space="preserve">À la suite de la résiliation </w:t>
      </w:r>
      <w:r>
        <w:t xml:space="preserve">ou de la fin </w:t>
      </w:r>
      <w:r w:rsidRPr="00F00722">
        <w:t>du contrat, le sous-traitant supprime, selon le choix du responsable du traitement, toutes les données à caractère personnel traitées pour le compte du responsable du traitement et certifie auprès de celui-ci qu’il a procédé à cette suppression, ou renvoie toutes les données à caractère personnel au responsable du traitement et détruit les copies existantes, à moins que le droit de l’Union ou le droit national n’impose de les conserver plus longtemps. Le sous-traitant continue de veiller à la conformité aux présentes clauses jusqu’à la suppression ou à la restitution des données.</w:t>
      </w:r>
    </w:p>
    <w:p w14:paraId="60B6A26E" w14:textId="77777777" w:rsidR="00BD73E9" w:rsidRDefault="00BD73E9" w:rsidP="00155EF0"/>
    <w:p w14:paraId="7398AFD2" w14:textId="77777777" w:rsidR="00BD73E9" w:rsidRPr="00F00722" w:rsidRDefault="00BD73E9" w:rsidP="00155EF0"/>
    <w:p w14:paraId="25C52407" w14:textId="77777777" w:rsidR="00155EF0" w:rsidRPr="00F00722" w:rsidRDefault="00155EF0" w:rsidP="00155EF0">
      <w:pPr>
        <w:pStyle w:val="Sansinterligne"/>
      </w:pPr>
      <w:r w:rsidRPr="00F00722">
        <w:lastRenderedPageBreak/>
        <w:t>Liste des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55"/>
      </w:tblGrid>
      <w:tr w:rsidR="00155EF0" w14:paraId="5C70AF13" w14:textId="77777777" w:rsidTr="00155EF0">
        <w:tc>
          <w:tcPr>
            <w:tcW w:w="4855" w:type="dxa"/>
            <w:vMerge w:val="restart"/>
            <w:shd w:val="clear" w:color="auto" w:fill="auto"/>
          </w:tcPr>
          <w:p w14:paraId="1703D825" w14:textId="77777777" w:rsidR="00155EF0" w:rsidRDefault="00155EF0" w:rsidP="00155EF0">
            <w:r w:rsidRPr="00F00722">
              <w:t>Responsable(s) du traitement</w:t>
            </w:r>
            <w:r>
              <w:t xml:space="preserve"> </w:t>
            </w:r>
            <w:r w:rsidRPr="00F00722">
              <w:t xml:space="preserve">: </w:t>
            </w:r>
          </w:p>
          <w:p w14:paraId="0987AE61" w14:textId="77777777" w:rsidR="00155EF0" w:rsidRDefault="00155EF0" w:rsidP="00155EF0">
            <w:r w:rsidRPr="00272CB1">
              <w:rPr>
                <w:i/>
                <w:iCs/>
                <w:sz w:val="18"/>
                <w:szCs w:val="22"/>
              </w:rPr>
              <w:t>[Identité et coordonnées du ou des responsables du traitement et, le cas échéant, du délégué à la protection des données du responsable du traitement]</w:t>
            </w:r>
          </w:p>
        </w:tc>
        <w:tc>
          <w:tcPr>
            <w:tcW w:w="4855" w:type="dxa"/>
            <w:shd w:val="clear" w:color="auto" w:fill="auto"/>
          </w:tcPr>
          <w:p w14:paraId="353975C9" w14:textId="77777777" w:rsidR="00155EF0" w:rsidRDefault="00155EF0" w:rsidP="00155EF0">
            <w:r>
              <w:t>Nom :</w:t>
            </w:r>
          </w:p>
          <w:p w14:paraId="786882D9" w14:textId="77777777" w:rsidR="00155EF0" w:rsidRDefault="00155EF0" w:rsidP="00155EF0"/>
        </w:tc>
      </w:tr>
      <w:tr w:rsidR="00155EF0" w14:paraId="35A252DB" w14:textId="77777777" w:rsidTr="00155EF0">
        <w:tc>
          <w:tcPr>
            <w:tcW w:w="4855" w:type="dxa"/>
            <w:vMerge/>
            <w:shd w:val="clear" w:color="auto" w:fill="auto"/>
          </w:tcPr>
          <w:p w14:paraId="69F949A3" w14:textId="77777777" w:rsidR="00155EF0" w:rsidRDefault="00155EF0" w:rsidP="00155EF0"/>
        </w:tc>
        <w:tc>
          <w:tcPr>
            <w:tcW w:w="4855" w:type="dxa"/>
            <w:shd w:val="clear" w:color="auto" w:fill="auto"/>
          </w:tcPr>
          <w:p w14:paraId="1B8AD4F9" w14:textId="77777777" w:rsidR="00155EF0" w:rsidRDefault="00155EF0" w:rsidP="00155EF0">
            <w:r>
              <w:t>Adresse :</w:t>
            </w:r>
          </w:p>
          <w:p w14:paraId="3819175E" w14:textId="77777777" w:rsidR="00155EF0" w:rsidRDefault="00155EF0" w:rsidP="00155EF0"/>
        </w:tc>
      </w:tr>
      <w:tr w:rsidR="00155EF0" w14:paraId="0417A7FF" w14:textId="77777777" w:rsidTr="00155EF0">
        <w:tc>
          <w:tcPr>
            <w:tcW w:w="4855" w:type="dxa"/>
            <w:vMerge/>
            <w:shd w:val="clear" w:color="auto" w:fill="auto"/>
          </w:tcPr>
          <w:p w14:paraId="2F517001" w14:textId="77777777" w:rsidR="00155EF0" w:rsidRDefault="00155EF0" w:rsidP="00155EF0"/>
        </w:tc>
        <w:tc>
          <w:tcPr>
            <w:tcW w:w="4855" w:type="dxa"/>
            <w:shd w:val="clear" w:color="auto" w:fill="auto"/>
          </w:tcPr>
          <w:p w14:paraId="6242A509" w14:textId="77777777" w:rsidR="00155EF0" w:rsidRDefault="00155EF0" w:rsidP="00155EF0">
            <w:r>
              <w:t>Délégué à la protection des données :</w:t>
            </w:r>
          </w:p>
          <w:p w14:paraId="31C23FD5" w14:textId="77777777" w:rsidR="00155EF0" w:rsidRDefault="00155EF0" w:rsidP="00155EF0"/>
        </w:tc>
      </w:tr>
      <w:tr w:rsidR="00155EF0" w14:paraId="3BA90821" w14:textId="77777777" w:rsidTr="00155EF0">
        <w:tc>
          <w:tcPr>
            <w:tcW w:w="4855" w:type="dxa"/>
            <w:vMerge w:val="restart"/>
            <w:shd w:val="clear" w:color="auto" w:fill="auto"/>
          </w:tcPr>
          <w:p w14:paraId="1A949E68" w14:textId="77777777" w:rsidR="00155EF0" w:rsidRDefault="00155EF0" w:rsidP="00155EF0">
            <w:r w:rsidRPr="00F00722">
              <w:t>Sous-traitant(s)</w:t>
            </w:r>
            <w:r>
              <w:t xml:space="preserve"> </w:t>
            </w:r>
            <w:r w:rsidRPr="00F00722">
              <w:t xml:space="preserve">: </w:t>
            </w:r>
          </w:p>
          <w:p w14:paraId="528DBB2B" w14:textId="77777777" w:rsidR="00155EF0" w:rsidRDefault="00155EF0" w:rsidP="00155EF0">
            <w:r w:rsidRPr="00272CB1">
              <w:rPr>
                <w:i/>
                <w:iCs/>
                <w:sz w:val="18"/>
                <w:szCs w:val="22"/>
              </w:rPr>
              <w:t>[Identité et coordonnées du ou des sous-traitants et, le cas échéant, du délégué à la protection des données du sous-traitant]</w:t>
            </w:r>
          </w:p>
        </w:tc>
        <w:tc>
          <w:tcPr>
            <w:tcW w:w="4855" w:type="dxa"/>
            <w:shd w:val="clear" w:color="auto" w:fill="auto"/>
          </w:tcPr>
          <w:p w14:paraId="22525416" w14:textId="77777777" w:rsidR="00155EF0" w:rsidRDefault="00155EF0" w:rsidP="00155EF0">
            <w:r>
              <w:t>Nom :</w:t>
            </w:r>
          </w:p>
          <w:p w14:paraId="4B70A64F" w14:textId="77777777" w:rsidR="00155EF0" w:rsidRDefault="00155EF0" w:rsidP="00155EF0"/>
        </w:tc>
      </w:tr>
      <w:tr w:rsidR="00155EF0" w14:paraId="2A615298" w14:textId="77777777" w:rsidTr="00155EF0">
        <w:tc>
          <w:tcPr>
            <w:tcW w:w="4855" w:type="dxa"/>
            <w:vMerge/>
            <w:shd w:val="clear" w:color="auto" w:fill="auto"/>
          </w:tcPr>
          <w:p w14:paraId="5EA9B540" w14:textId="77777777" w:rsidR="00155EF0" w:rsidRDefault="00155EF0" w:rsidP="00155EF0"/>
        </w:tc>
        <w:tc>
          <w:tcPr>
            <w:tcW w:w="4855" w:type="dxa"/>
            <w:shd w:val="clear" w:color="auto" w:fill="auto"/>
          </w:tcPr>
          <w:p w14:paraId="2F9B3B3B" w14:textId="77777777" w:rsidR="00155EF0" w:rsidRDefault="00155EF0" w:rsidP="00155EF0">
            <w:r>
              <w:t>Adresse :</w:t>
            </w:r>
          </w:p>
          <w:p w14:paraId="713C1E3F" w14:textId="77777777" w:rsidR="00155EF0" w:rsidRDefault="00155EF0" w:rsidP="00155EF0"/>
        </w:tc>
      </w:tr>
      <w:tr w:rsidR="00155EF0" w14:paraId="6FD63F47" w14:textId="77777777" w:rsidTr="00155EF0">
        <w:tc>
          <w:tcPr>
            <w:tcW w:w="4855" w:type="dxa"/>
            <w:vMerge/>
            <w:shd w:val="clear" w:color="auto" w:fill="auto"/>
          </w:tcPr>
          <w:p w14:paraId="72AA66DC" w14:textId="77777777" w:rsidR="00155EF0" w:rsidRDefault="00155EF0" w:rsidP="00155EF0"/>
        </w:tc>
        <w:tc>
          <w:tcPr>
            <w:tcW w:w="4855" w:type="dxa"/>
            <w:shd w:val="clear" w:color="auto" w:fill="auto"/>
          </w:tcPr>
          <w:p w14:paraId="0E38F75E" w14:textId="77777777" w:rsidR="00155EF0" w:rsidRDefault="00155EF0" w:rsidP="00155EF0">
            <w:r>
              <w:t>Délégué à la protection des données :</w:t>
            </w:r>
          </w:p>
          <w:p w14:paraId="3A7684ED" w14:textId="77777777" w:rsidR="00155EF0" w:rsidRDefault="00155EF0" w:rsidP="00155EF0"/>
        </w:tc>
      </w:tr>
    </w:tbl>
    <w:p w14:paraId="09467611" w14:textId="77777777" w:rsidR="00155EF0" w:rsidRPr="00F00722" w:rsidRDefault="00155EF0" w:rsidP="00155EF0">
      <w:pPr>
        <w:pStyle w:val="Sansinterligne"/>
      </w:pPr>
      <w:r w:rsidRPr="00F00722">
        <w:t>Description du traitement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893"/>
      </w:tblGrid>
      <w:tr w:rsidR="00155EF0" w14:paraId="03E74CB2" w14:textId="77777777" w:rsidTr="00155EF0">
        <w:tc>
          <w:tcPr>
            <w:tcW w:w="4893" w:type="dxa"/>
            <w:shd w:val="clear" w:color="auto" w:fill="auto"/>
          </w:tcPr>
          <w:p w14:paraId="6F2C139C" w14:textId="77777777" w:rsidR="00155EF0" w:rsidRPr="00F00722" w:rsidRDefault="00155EF0" w:rsidP="00155EF0">
            <w:r w:rsidRPr="00F00722">
              <w:t>Catégories de personnes concernées dont les données à caractère personnel sont traitées</w:t>
            </w:r>
            <w:r>
              <w:t> :</w:t>
            </w:r>
          </w:p>
          <w:p w14:paraId="08F932AC" w14:textId="77777777" w:rsidR="00155EF0" w:rsidRDefault="00155EF0" w:rsidP="00155EF0"/>
        </w:tc>
        <w:tc>
          <w:tcPr>
            <w:tcW w:w="4893" w:type="dxa"/>
            <w:shd w:val="clear" w:color="auto" w:fill="auto"/>
          </w:tcPr>
          <w:p w14:paraId="5B19B2A5" w14:textId="77777777" w:rsidR="00155EF0" w:rsidRDefault="00155EF0" w:rsidP="00155EF0"/>
        </w:tc>
      </w:tr>
      <w:tr w:rsidR="00155EF0" w14:paraId="5E00A168" w14:textId="77777777" w:rsidTr="00155EF0">
        <w:tc>
          <w:tcPr>
            <w:tcW w:w="4893" w:type="dxa"/>
            <w:shd w:val="clear" w:color="auto" w:fill="auto"/>
          </w:tcPr>
          <w:p w14:paraId="5B75F997" w14:textId="77777777" w:rsidR="00155EF0" w:rsidRPr="00F00722" w:rsidRDefault="00155EF0" w:rsidP="00155EF0">
            <w:r w:rsidRPr="00F00722">
              <w:t>Catégories de données à caractère personnel traitées</w:t>
            </w:r>
            <w:r>
              <w:t> :</w:t>
            </w:r>
          </w:p>
          <w:p w14:paraId="57F50725" w14:textId="77777777" w:rsidR="00155EF0" w:rsidRDefault="00155EF0" w:rsidP="00155EF0"/>
        </w:tc>
        <w:tc>
          <w:tcPr>
            <w:tcW w:w="4893" w:type="dxa"/>
            <w:shd w:val="clear" w:color="auto" w:fill="auto"/>
          </w:tcPr>
          <w:p w14:paraId="6E2008DB" w14:textId="77777777" w:rsidR="00155EF0" w:rsidRDefault="00155EF0" w:rsidP="00155EF0"/>
        </w:tc>
      </w:tr>
      <w:tr w:rsidR="00155EF0" w14:paraId="27F0A161" w14:textId="77777777" w:rsidTr="00155EF0">
        <w:tc>
          <w:tcPr>
            <w:tcW w:w="4893" w:type="dxa"/>
            <w:shd w:val="clear" w:color="auto" w:fill="auto"/>
          </w:tcPr>
          <w:p w14:paraId="593D09B1" w14:textId="77777777" w:rsidR="00155EF0" w:rsidRPr="00F00722" w:rsidRDefault="00155EF0" w:rsidP="00155EF0">
            <w:r w:rsidRPr="00F00722">
              <w:t>Les données sensibles traitées (le cas échéant) et les limitations ou garanties appliquées qui tiennent pleinement compte de la nature des données et des risques encourus, tels que, par exemple, la limitation stricte de la finalité, les restrictions des accès (y compris l’accès réservé uniquement au personnel ayant suivi une formation spécialisée), la tenue d’un registre de l’accès aux données, les restrictions applicables aux transferts ultérieurs ou les mesures de sécurité supplémentaires</w:t>
            </w:r>
            <w:r>
              <w:t> :</w:t>
            </w:r>
          </w:p>
          <w:p w14:paraId="15A9AF42" w14:textId="77777777" w:rsidR="00155EF0" w:rsidRDefault="00155EF0" w:rsidP="00155EF0"/>
        </w:tc>
        <w:tc>
          <w:tcPr>
            <w:tcW w:w="4893" w:type="dxa"/>
            <w:shd w:val="clear" w:color="auto" w:fill="auto"/>
          </w:tcPr>
          <w:p w14:paraId="29B5364B" w14:textId="77777777" w:rsidR="00155EF0" w:rsidRDefault="00155EF0" w:rsidP="00155EF0"/>
        </w:tc>
      </w:tr>
      <w:tr w:rsidR="00155EF0" w14:paraId="0336BD9E" w14:textId="77777777" w:rsidTr="00155EF0">
        <w:tc>
          <w:tcPr>
            <w:tcW w:w="4893" w:type="dxa"/>
            <w:shd w:val="clear" w:color="auto" w:fill="auto"/>
          </w:tcPr>
          <w:p w14:paraId="556BE0AD" w14:textId="77777777" w:rsidR="00155EF0" w:rsidRPr="00F00722" w:rsidRDefault="00155EF0" w:rsidP="00155EF0">
            <w:r w:rsidRPr="00F00722">
              <w:t>Nature du traitement</w:t>
            </w:r>
            <w:r>
              <w:t> :</w:t>
            </w:r>
          </w:p>
          <w:p w14:paraId="26972FE8" w14:textId="77777777" w:rsidR="00155EF0" w:rsidRDefault="00155EF0" w:rsidP="00155EF0"/>
        </w:tc>
        <w:tc>
          <w:tcPr>
            <w:tcW w:w="4893" w:type="dxa"/>
            <w:shd w:val="clear" w:color="auto" w:fill="auto"/>
          </w:tcPr>
          <w:p w14:paraId="11158FB5" w14:textId="77777777" w:rsidR="00155EF0" w:rsidRDefault="00155EF0" w:rsidP="00155EF0"/>
        </w:tc>
      </w:tr>
      <w:tr w:rsidR="00155EF0" w14:paraId="3FDF9ABB" w14:textId="77777777" w:rsidTr="00155EF0">
        <w:tc>
          <w:tcPr>
            <w:tcW w:w="4893" w:type="dxa"/>
            <w:shd w:val="clear" w:color="auto" w:fill="auto"/>
          </w:tcPr>
          <w:p w14:paraId="661505FA" w14:textId="77777777" w:rsidR="00155EF0" w:rsidRPr="00F00722" w:rsidRDefault="00155EF0" w:rsidP="00155EF0">
            <w:r w:rsidRPr="00F00722">
              <w:t>Finalité(s) pour laquelle (lesquelles) les données à caractère personnel sont traitées pour le compte du responsable du traitement</w:t>
            </w:r>
            <w:r>
              <w:t> :</w:t>
            </w:r>
          </w:p>
          <w:p w14:paraId="4F932EC6" w14:textId="77777777" w:rsidR="00155EF0" w:rsidRDefault="00155EF0" w:rsidP="00155EF0"/>
        </w:tc>
        <w:tc>
          <w:tcPr>
            <w:tcW w:w="4893" w:type="dxa"/>
            <w:shd w:val="clear" w:color="auto" w:fill="auto"/>
          </w:tcPr>
          <w:p w14:paraId="5C764270" w14:textId="77777777" w:rsidR="00155EF0" w:rsidRDefault="00155EF0" w:rsidP="00155EF0"/>
        </w:tc>
      </w:tr>
      <w:tr w:rsidR="00155EF0" w14:paraId="4FF23D5F" w14:textId="77777777" w:rsidTr="00155EF0">
        <w:tc>
          <w:tcPr>
            <w:tcW w:w="4893" w:type="dxa"/>
            <w:shd w:val="clear" w:color="auto" w:fill="auto"/>
          </w:tcPr>
          <w:p w14:paraId="003FBBD3" w14:textId="77777777" w:rsidR="00155EF0" w:rsidRDefault="00155EF0" w:rsidP="00155EF0">
            <w:r w:rsidRPr="00F00722">
              <w:t>Durée du traitement</w:t>
            </w:r>
            <w:r>
              <w:t> :</w:t>
            </w:r>
          </w:p>
        </w:tc>
        <w:tc>
          <w:tcPr>
            <w:tcW w:w="4893" w:type="dxa"/>
            <w:shd w:val="clear" w:color="auto" w:fill="auto"/>
          </w:tcPr>
          <w:p w14:paraId="2815307F" w14:textId="77777777" w:rsidR="00155EF0" w:rsidRDefault="00155EF0" w:rsidP="00155EF0"/>
        </w:tc>
      </w:tr>
      <w:tr w:rsidR="00155EF0" w14:paraId="6AD99E41" w14:textId="77777777" w:rsidTr="00155EF0">
        <w:tc>
          <w:tcPr>
            <w:tcW w:w="4893" w:type="dxa"/>
            <w:shd w:val="clear" w:color="auto" w:fill="auto"/>
          </w:tcPr>
          <w:p w14:paraId="1B294772" w14:textId="77777777" w:rsidR="00155EF0" w:rsidRPr="00F00722" w:rsidRDefault="00155EF0" w:rsidP="00155EF0">
            <w:r w:rsidRPr="00F00722">
              <w:t>Pour le traitement par les sous-traitants (ultérieurs), préciser également l’objet, la nature et la durée du traitement</w:t>
            </w:r>
            <w:r>
              <w:t> :</w:t>
            </w:r>
          </w:p>
          <w:p w14:paraId="19A6A367" w14:textId="77777777" w:rsidR="00155EF0" w:rsidRDefault="00155EF0" w:rsidP="00155EF0"/>
        </w:tc>
        <w:tc>
          <w:tcPr>
            <w:tcW w:w="4893" w:type="dxa"/>
            <w:shd w:val="clear" w:color="auto" w:fill="auto"/>
          </w:tcPr>
          <w:p w14:paraId="28D768BB" w14:textId="77777777" w:rsidR="00155EF0" w:rsidRDefault="00155EF0" w:rsidP="00155EF0"/>
        </w:tc>
      </w:tr>
    </w:tbl>
    <w:p w14:paraId="39991907" w14:textId="77777777" w:rsidR="00155EF0" w:rsidRPr="00F00722" w:rsidRDefault="00155EF0" w:rsidP="00155EF0">
      <w:pPr>
        <w:pStyle w:val="Sansinterligne"/>
      </w:pPr>
      <w:r w:rsidRPr="00F00722">
        <w:t>Mesures techniques et organisationnelles, y compris mesures techniques et organisationnelles visant à garantir la sécurité des données</w:t>
      </w:r>
    </w:p>
    <w:p w14:paraId="4161ED4C" w14:textId="77777777" w:rsidR="00155EF0" w:rsidRPr="00F00722" w:rsidRDefault="00155EF0" w:rsidP="00155EF0">
      <w:r w:rsidRPr="004D66E4">
        <w:rPr>
          <w:u w:val="single"/>
        </w:rPr>
        <w:t xml:space="preserve">Information </w:t>
      </w:r>
      <w:r w:rsidRPr="00F00722">
        <w:t>:</w:t>
      </w:r>
      <w:r>
        <w:t xml:space="preserve"> </w:t>
      </w:r>
      <w:r w:rsidRPr="00F00722">
        <w:t>Les mesures techniques et organisationnelles doivent faire l’objet d’une description concrète, et non pas générique.</w:t>
      </w:r>
    </w:p>
    <w:p w14:paraId="64D94896" w14:textId="77777777" w:rsidR="00155EF0" w:rsidRPr="00F00722" w:rsidRDefault="00155EF0" w:rsidP="00155EF0"/>
    <w:p w14:paraId="7EC2835F" w14:textId="77777777" w:rsidR="00155EF0" w:rsidRDefault="00155EF0" w:rsidP="00155EF0">
      <w:r w:rsidRPr="00F00722">
        <w:lastRenderedPageBreak/>
        <w:t>Description des mesures de sécurité techniques et organisationnelles mises en œuvre par le ou les sous-traitants (y compris toute certification pertinente) visant à garantir un niveau de sécurité approprié, compte tenu de la nature, de la portée, du contexte et de la finalité du traitement, ainsi que des risques pour les droits et libertés des personnes physiques. Exemples de mesures possibles</w:t>
      </w:r>
      <w:r>
        <w:t xml:space="preserve"> </w:t>
      </w:r>
      <w:r w:rsidRPr="00F00722">
        <w:t>:</w:t>
      </w:r>
    </w:p>
    <w:p w14:paraId="0736CE66" w14:textId="77777777" w:rsidR="00155EF0" w:rsidRPr="00F00722" w:rsidRDefault="00155EF0" w:rsidP="00155E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45"/>
      </w:tblGrid>
      <w:tr w:rsidR="00155EF0" w:rsidRPr="00F00722" w14:paraId="370A0CFA" w14:textId="77777777" w:rsidTr="00155EF0">
        <w:tc>
          <w:tcPr>
            <w:tcW w:w="4815" w:type="dxa"/>
            <w:shd w:val="clear" w:color="auto" w:fill="auto"/>
          </w:tcPr>
          <w:p w14:paraId="5C98CE55" w14:textId="77777777" w:rsidR="00155EF0" w:rsidRPr="00F00722" w:rsidRDefault="00155EF0" w:rsidP="00155EF0">
            <w:r>
              <w:t>M</w:t>
            </w:r>
            <w:r w:rsidRPr="00F00722">
              <w:t xml:space="preserve">esures de </w:t>
            </w:r>
            <w:proofErr w:type="spellStart"/>
            <w:r w:rsidRPr="00F00722">
              <w:t>pseudonymisation</w:t>
            </w:r>
            <w:proofErr w:type="spellEnd"/>
            <w:r w:rsidRPr="00F00722">
              <w:t xml:space="preserve"> et de chiffrement des données à caractère personnel</w:t>
            </w:r>
            <w:r>
              <w:t> :</w:t>
            </w:r>
          </w:p>
          <w:p w14:paraId="6D308451" w14:textId="77777777" w:rsidR="00155EF0" w:rsidRDefault="00155EF0" w:rsidP="00155EF0"/>
        </w:tc>
        <w:tc>
          <w:tcPr>
            <w:tcW w:w="4745" w:type="dxa"/>
            <w:shd w:val="clear" w:color="auto" w:fill="auto"/>
          </w:tcPr>
          <w:p w14:paraId="795117C6" w14:textId="77777777" w:rsidR="00155EF0" w:rsidRPr="00F00722" w:rsidRDefault="00155EF0" w:rsidP="00155EF0"/>
        </w:tc>
      </w:tr>
      <w:tr w:rsidR="00155EF0" w14:paraId="45F0BE71" w14:textId="77777777" w:rsidTr="00155EF0">
        <w:tc>
          <w:tcPr>
            <w:tcW w:w="4815" w:type="dxa"/>
            <w:shd w:val="clear" w:color="auto" w:fill="auto"/>
          </w:tcPr>
          <w:p w14:paraId="17A0AB04" w14:textId="77777777" w:rsidR="00155EF0" w:rsidRPr="00F00722" w:rsidRDefault="00155EF0" w:rsidP="00155EF0">
            <w:r w:rsidRPr="00F00722">
              <w:t>Mesures visant à garantir la confidentialité, l'intégrité, la disponibilité et la résilience constantes des systèmes et des services de traitement</w:t>
            </w:r>
            <w:r>
              <w:t> :</w:t>
            </w:r>
          </w:p>
          <w:p w14:paraId="09CD63EA" w14:textId="77777777" w:rsidR="00155EF0" w:rsidRDefault="00155EF0" w:rsidP="00155EF0"/>
        </w:tc>
        <w:tc>
          <w:tcPr>
            <w:tcW w:w="4745" w:type="dxa"/>
            <w:shd w:val="clear" w:color="auto" w:fill="auto"/>
          </w:tcPr>
          <w:p w14:paraId="277EC8F9" w14:textId="77777777" w:rsidR="00155EF0" w:rsidRDefault="00155EF0" w:rsidP="00155EF0"/>
        </w:tc>
      </w:tr>
      <w:tr w:rsidR="00155EF0" w14:paraId="518DA1F6" w14:textId="77777777" w:rsidTr="00155EF0">
        <w:tc>
          <w:tcPr>
            <w:tcW w:w="4815" w:type="dxa"/>
            <w:shd w:val="clear" w:color="auto" w:fill="auto"/>
          </w:tcPr>
          <w:p w14:paraId="3FC6C18E" w14:textId="77777777" w:rsidR="00155EF0" w:rsidRPr="00F00722" w:rsidRDefault="00155EF0" w:rsidP="00155EF0">
            <w:r>
              <w:t>M</w:t>
            </w:r>
            <w:r w:rsidRPr="00F00722">
              <w:t>esures assurant de disposer de moyens permettant de rétablir la disponibilité des données à caractère personnel et l’accès à celles-ci dans des délais appropriés en cas d’incident physique ou technique</w:t>
            </w:r>
            <w:r>
              <w:t> :</w:t>
            </w:r>
          </w:p>
          <w:p w14:paraId="46FC2985" w14:textId="77777777" w:rsidR="00155EF0" w:rsidRDefault="00155EF0" w:rsidP="00155EF0"/>
        </w:tc>
        <w:tc>
          <w:tcPr>
            <w:tcW w:w="4745" w:type="dxa"/>
            <w:shd w:val="clear" w:color="auto" w:fill="auto"/>
          </w:tcPr>
          <w:p w14:paraId="52D1B15A" w14:textId="77777777" w:rsidR="00155EF0" w:rsidRDefault="00155EF0" w:rsidP="00155EF0"/>
        </w:tc>
      </w:tr>
      <w:tr w:rsidR="00155EF0" w14:paraId="343145CC" w14:textId="77777777" w:rsidTr="00155EF0">
        <w:tc>
          <w:tcPr>
            <w:tcW w:w="4815" w:type="dxa"/>
            <w:shd w:val="clear" w:color="auto" w:fill="auto"/>
          </w:tcPr>
          <w:p w14:paraId="418B3328" w14:textId="77777777" w:rsidR="00155EF0" w:rsidRPr="00F00722" w:rsidRDefault="00155EF0" w:rsidP="00155EF0">
            <w:r w:rsidRPr="00F00722">
              <w:t>Procédures visant à tester, à analyser et à évaluer régulièrement l’efficacité des mesures techniques et organisationnelles pour assurer la sécurité du traitement</w:t>
            </w:r>
            <w:r>
              <w:t> :</w:t>
            </w:r>
          </w:p>
          <w:p w14:paraId="143668BD" w14:textId="77777777" w:rsidR="00155EF0" w:rsidRDefault="00155EF0" w:rsidP="00155EF0"/>
        </w:tc>
        <w:tc>
          <w:tcPr>
            <w:tcW w:w="4745" w:type="dxa"/>
            <w:shd w:val="clear" w:color="auto" w:fill="auto"/>
          </w:tcPr>
          <w:p w14:paraId="065CE106" w14:textId="77777777" w:rsidR="00155EF0" w:rsidRDefault="00155EF0" w:rsidP="00155EF0"/>
        </w:tc>
      </w:tr>
      <w:tr w:rsidR="00155EF0" w14:paraId="2C1C5BD5" w14:textId="77777777" w:rsidTr="00155EF0">
        <w:tc>
          <w:tcPr>
            <w:tcW w:w="4815" w:type="dxa"/>
            <w:shd w:val="clear" w:color="auto" w:fill="auto"/>
          </w:tcPr>
          <w:p w14:paraId="614F79CD" w14:textId="77777777" w:rsidR="00155EF0" w:rsidRPr="00F00722" w:rsidRDefault="00155EF0" w:rsidP="00155EF0">
            <w:r w:rsidRPr="00F00722">
              <w:t>Mesures d’identification et d’autorisation de l’utilisateur</w:t>
            </w:r>
            <w:r>
              <w:t> :</w:t>
            </w:r>
          </w:p>
          <w:p w14:paraId="41008D62" w14:textId="77777777" w:rsidR="00155EF0" w:rsidRDefault="00155EF0" w:rsidP="00155EF0"/>
        </w:tc>
        <w:tc>
          <w:tcPr>
            <w:tcW w:w="4745" w:type="dxa"/>
            <w:shd w:val="clear" w:color="auto" w:fill="auto"/>
          </w:tcPr>
          <w:p w14:paraId="4D3CAF42" w14:textId="77777777" w:rsidR="00155EF0" w:rsidRDefault="00155EF0" w:rsidP="00155EF0"/>
        </w:tc>
      </w:tr>
      <w:tr w:rsidR="00155EF0" w14:paraId="70F20B91" w14:textId="77777777" w:rsidTr="00155EF0">
        <w:tc>
          <w:tcPr>
            <w:tcW w:w="4815" w:type="dxa"/>
            <w:shd w:val="clear" w:color="auto" w:fill="auto"/>
          </w:tcPr>
          <w:p w14:paraId="56FBC096" w14:textId="77777777" w:rsidR="00155EF0" w:rsidRDefault="00155EF0" w:rsidP="00155EF0">
            <w:r w:rsidRPr="00F00722">
              <w:t>Mesures de protection des données pendant la transmission</w:t>
            </w:r>
            <w:r>
              <w:t> :</w:t>
            </w:r>
          </w:p>
          <w:p w14:paraId="13181BE7" w14:textId="77777777" w:rsidR="00155EF0" w:rsidRDefault="00155EF0" w:rsidP="00155EF0"/>
        </w:tc>
        <w:tc>
          <w:tcPr>
            <w:tcW w:w="4745" w:type="dxa"/>
            <w:shd w:val="clear" w:color="auto" w:fill="auto"/>
          </w:tcPr>
          <w:p w14:paraId="1EF3257E" w14:textId="77777777" w:rsidR="00155EF0" w:rsidRDefault="00155EF0" w:rsidP="00155EF0"/>
        </w:tc>
      </w:tr>
      <w:tr w:rsidR="00155EF0" w14:paraId="63514E09" w14:textId="77777777" w:rsidTr="00155EF0">
        <w:tc>
          <w:tcPr>
            <w:tcW w:w="4815" w:type="dxa"/>
            <w:shd w:val="clear" w:color="auto" w:fill="auto"/>
          </w:tcPr>
          <w:p w14:paraId="10B2ADBE" w14:textId="77777777" w:rsidR="00155EF0" w:rsidRPr="00F00722" w:rsidRDefault="00155EF0" w:rsidP="00155EF0">
            <w:r w:rsidRPr="00F00722">
              <w:t>Mesures de protection des données pendant le stockage</w:t>
            </w:r>
            <w:r>
              <w:t> :</w:t>
            </w:r>
          </w:p>
          <w:p w14:paraId="31C01370" w14:textId="77777777" w:rsidR="00155EF0" w:rsidRDefault="00155EF0" w:rsidP="00155EF0"/>
        </w:tc>
        <w:tc>
          <w:tcPr>
            <w:tcW w:w="4745" w:type="dxa"/>
            <w:shd w:val="clear" w:color="auto" w:fill="auto"/>
          </w:tcPr>
          <w:p w14:paraId="30B6791E" w14:textId="77777777" w:rsidR="00155EF0" w:rsidRDefault="00155EF0" w:rsidP="00155EF0"/>
        </w:tc>
      </w:tr>
      <w:tr w:rsidR="00155EF0" w14:paraId="549F2E79" w14:textId="77777777" w:rsidTr="00155EF0">
        <w:tc>
          <w:tcPr>
            <w:tcW w:w="4815" w:type="dxa"/>
            <w:shd w:val="clear" w:color="auto" w:fill="auto"/>
          </w:tcPr>
          <w:p w14:paraId="412B9CD1" w14:textId="77777777" w:rsidR="00155EF0" w:rsidRPr="00F00722" w:rsidRDefault="00155EF0" w:rsidP="00155EF0">
            <w:r w:rsidRPr="00F00722">
              <w:t>Mesures visant à garantir la sécurité physique des sites où les données à caractère personnel sont traitées</w:t>
            </w:r>
            <w:r>
              <w:t> :</w:t>
            </w:r>
          </w:p>
          <w:p w14:paraId="412BC6D5" w14:textId="77777777" w:rsidR="00155EF0" w:rsidRDefault="00155EF0" w:rsidP="00155EF0"/>
        </w:tc>
        <w:tc>
          <w:tcPr>
            <w:tcW w:w="4745" w:type="dxa"/>
            <w:shd w:val="clear" w:color="auto" w:fill="auto"/>
          </w:tcPr>
          <w:p w14:paraId="4777A91A" w14:textId="77777777" w:rsidR="00155EF0" w:rsidRDefault="00155EF0" w:rsidP="00155EF0"/>
        </w:tc>
      </w:tr>
      <w:tr w:rsidR="00155EF0" w14:paraId="48EF9759" w14:textId="77777777" w:rsidTr="00155EF0">
        <w:tc>
          <w:tcPr>
            <w:tcW w:w="4815" w:type="dxa"/>
            <w:shd w:val="clear" w:color="auto" w:fill="auto"/>
          </w:tcPr>
          <w:p w14:paraId="79C6C49A" w14:textId="77777777" w:rsidR="00155EF0" w:rsidRPr="00F00722" w:rsidRDefault="00155EF0" w:rsidP="00155EF0">
            <w:r w:rsidRPr="00F00722">
              <w:t>Mesures visant à garantir l’enregistrement des événements</w:t>
            </w:r>
            <w:r>
              <w:t> :</w:t>
            </w:r>
          </w:p>
          <w:p w14:paraId="59713052" w14:textId="77777777" w:rsidR="00155EF0" w:rsidRDefault="00155EF0" w:rsidP="00155EF0"/>
        </w:tc>
        <w:tc>
          <w:tcPr>
            <w:tcW w:w="4745" w:type="dxa"/>
            <w:shd w:val="clear" w:color="auto" w:fill="auto"/>
          </w:tcPr>
          <w:p w14:paraId="665794AD" w14:textId="77777777" w:rsidR="00155EF0" w:rsidRDefault="00155EF0" w:rsidP="00155EF0"/>
        </w:tc>
      </w:tr>
      <w:tr w:rsidR="00155EF0" w14:paraId="1ADF85C0" w14:textId="77777777" w:rsidTr="00155EF0">
        <w:tc>
          <w:tcPr>
            <w:tcW w:w="4815" w:type="dxa"/>
            <w:shd w:val="clear" w:color="auto" w:fill="auto"/>
          </w:tcPr>
          <w:p w14:paraId="2A8E1DC1" w14:textId="77777777" w:rsidR="00155EF0" w:rsidRDefault="00155EF0" w:rsidP="00155EF0">
            <w:r w:rsidRPr="00F00722">
              <w:t>Mesures visant à assurer la configuration des systèmes, y compris la configuration par défaut</w:t>
            </w:r>
            <w:r>
              <w:t> :</w:t>
            </w:r>
          </w:p>
          <w:p w14:paraId="29184896" w14:textId="77777777" w:rsidR="00155EF0" w:rsidRDefault="00155EF0" w:rsidP="00155EF0"/>
        </w:tc>
        <w:tc>
          <w:tcPr>
            <w:tcW w:w="4745" w:type="dxa"/>
            <w:shd w:val="clear" w:color="auto" w:fill="auto"/>
          </w:tcPr>
          <w:p w14:paraId="23A5634F" w14:textId="77777777" w:rsidR="00155EF0" w:rsidRDefault="00155EF0" w:rsidP="00155EF0"/>
        </w:tc>
      </w:tr>
      <w:tr w:rsidR="00155EF0" w14:paraId="06393106" w14:textId="77777777" w:rsidTr="00155EF0">
        <w:tc>
          <w:tcPr>
            <w:tcW w:w="4815" w:type="dxa"/>
            <w:shd w:val="clear" w:color="auto" w:fill="auto"/>
          </w:tcPr>
          <w:p w14:paraId="0C1AC522" w14:textId="77777777" w:rsidR="00155EF0" w:rsidRPr="00F00722" w:rsidRDefault="00155EF0" w:rsidP="00155EF0">
            <w:r w:rsidRPr="00F00722">
              <w:t>Mesures de gouvernance et de gestion de l’informatique interne et de la sécurité informatique</w:t>
            </w:r>
            <w:r>
              <w:t> :</w:t>
            </w:r>
          </w:p>
          <w:p w14:paraId="7A096D88" w14:textId="77777777" w:rsidR="00155EF0" w:rsidRDefault="00155EF0" w:rsidP="00155EF0"/>
        </w:tc>
        <w:tc>
          <w:tcPr>
            <w:tcW w:w="4745" w:type="dxa"/>
            <w:shd w:val="clear" w:color="auto" w:fill="auto"/>
          </w:tcPr>
          <w:p w14:paraId="56BC05D9" w14:textId="77777777" w:rsidR="00155EF0" w:rsidRDefault="00155EF0" w:rsidP="00155EF0"/>
        </w:tc>
      </w:tr>
      <w:tr w:rsidR="00155EF0" w14:paraId="1A0192C4" w14:textId="77777777" w:rsidTr="00155EF0">
        <w:tc>
          <w:tcPr>
            <w:tcW w:w="4815" w:type="dxa"/>
            <w:shd w:val="clear" w:color="auto" w:fill="auto"/>
          </w:tcPr>
          <w:p w14:paraId="5B1A68D4" w14:textId="77777777" w:rsidR="00155EF0" w:rsidRPr="00F00722" w:rsidRDefault="00155EF0" w:rsidP="00155EF0">
            <w:r w:rsidRPr="00F00722">
              <w:t>Mesures de certification/assurance des procédés et produits</w:t>
            </w:r>
            <w:r>
              <w:t> :</w:t>
            </w:r>
          </w:p>
          <w:p w14:paraId="1F3468F4" w14:textId="77777777" w:rsidR="00155EF0" w:rsidRPr="00F00722" w:rsidRDefault="00155EF0" w:rsidP="00155EF0"/>
        </w:tc>
        <w:tc>
          <w:tcPr>
            <w:tcW w:w="4745" w:type="dxa"/>
            <w:shd w:val="clear" w:color="auto" w:fill="auto"/>
          </w:tcPr>
          <w:p w14:paraId="38AB2D9C" w14:textId="77777777" w:rsidR="00155EF0" w:rsidRDefault="00155EF0" w:rsidP="00155EF0"/>
        </w:tc>
      </w:tr>
      <w:tr w:rsidR="00155EF0" w14:paraId="358F07F5" w14:textId="77777777" w:rsidTr="00155EF0">
        <w:tc>
          <w:tcPr>
            <w:tcW w:w="4815" w:type="dxa"/>
            <w:shd w:val="clear" w:color="auto" w:fill="auto"/>
          </w:tcPr>
          <w:p w14:paraId="49681B8E" w14:textId="77777777" w:rsidR="00155EF0" w:rsidRPr="00F00722" w:rsidRDefault="00155EF0" w:rsidP="00155EF0">
            <w:r w:rsidRPr="00F00722">
              <w:t>Mesures visant à garantir la minimisation des données</w:t>
            </w:r>
            <w:r>
              <w:t> :</w:t>
            </w:r>
          </w:p>
          <w:p w14:paraId="39F5F2D3" w14:textId="77777777" w:rsidR="00155EF0" w:rsidRDefault="00155EF0" w:rsidP="00155EF0"/>
        </w:tc>
        <w:tc>
          <w:tcPr>
            <w:tcW w:w="4745" w:type="dxa"/>
            <w:shd w:val="clear" w:color="auto" w:fill="auto"/>
          </w:tcPr>
          <w:p w14:paraId="2B715322" w14:textId="77777777" w:rsidR="00155EF0" w:rsidRDefault="00155EF0" w:rsidP="00155EF0"/>
        </w:tc>
      </w:tr>
      <w:tr w:rsidR="00155EF0" w14:paraId="4F6917D5" w14:textId="77777777" w:rsidTr="00155EF0">
        <w:tc>
          <w:tcPr>
            <w:tcW w:w="4815" w:type="dxa"/>
            <w:shd w:val="clear" w:color="auto" w:fill="auto"/>
          </w:tcPr>
          <w:p w14:paraId="4B311C38" w14:textId="77777777" w:rsidR="00155EF0" w:rsidRPr="00F00722" w:rsidRDefault="00155EF0" w:rsidP="00155EF0">
            <w:r w:rsidRPr="00F00722">
              <w:lastRenderedPageBreak/>
              <w:t>Mesures visant à garantir la qualité des données</w:t>
            </w:r>
            <w:r>
              <w:t> :</w:t>
            </w:r>
          </w:p>
          <w:p w14:paraId="36145E7F" w14:textId="77777777" w:rsidR="00155EF0" w:rsidRDefault="00155EF0" w:rsidP="00155EF0"/>
        </w:tc>
        <w:tc>
          <w:tcPr>
            <w:tcW w:w="4745" w:type="dxa"/>
            <w:shd w:val="clear" w:color="auto" w:fill="auto"/>
          </w:tcPr>
          <w:p w14:paraId="4679F2EC" w14:textId="77777777" w:rsidR="00155EF0" w:rsidRDefault="00155EF0" w:rsidP="00155EF0"/>
        </w:tc>
      </w:tr>
      <w:tr w:rsidR="00155EF0" w14:paraId="27DD7EBE" w14:textId="77777777" w:rsidTr="00155EF0">
        <w:tc>
          <w:tcPr>
            <w:tcW w:w="4815" w:type="dxa"/>
            <w:shd w:val="clear" w:color="auto" w:fill="auto"/>
          </w:tcPr>
          <w:p w14:paraId="0DC426E4" w14:textId="77777777" w:rsidR="00155EF0" w:rsidRPr="00F00722" w:rsidRDefault="00155EF0" w:rsidP="00155EF0">
            <w:r w:rsidRPr="00F00722">
              <w:t>Mesures visant à garantir une conservation limitée des données</w:t>
            </w:r>
            <w:r>
              <w:t> :</w:t>
            </w:r>
          </w:p>
          <w:p w14:paraId="3914AA82" w14:textId="77777777" w:rsidR="00155EF0" w:rsidRPr="00F00722" w:rsidRDefault="00155EF0" w:rsidP="00155EF0"/>
        </w:tc>
        <w:tc>
          <w:tcPr>
            <w:tcW w:w="4745" w:type="dxa"/>
            <w:shd w:val="clear" w:color="auto" w:fill="auto"/>
          </w:tcPr>
          <w:p w14:paraId="68DE011C" w14:textId="77777777" w:rsidR="00155EF0" w:rsidRDefault="00155EF0" w:rsidP="00155EF0"/>
        </w:tc>
      </w:tr>
      <w:tr w:rsidR="00155EF0" w14:paraId="2D6E181A" w14:textId="77777777" w:rsidTr="00155EF0">
        <w:tc>
          <w:tcPr>
            <w:tcW w:w="4815" w:type="dxa"/>
            <w:shd w:val="clear" w:color="auto" w:fill="auto"/>
          </w:tcPr>
          <w:p w14:paraId="77540441" w14:textId="77777777" w:rsidR="00155EF0" w:rsidRDefault="00155EF0" w:rsidP="00155EF0">
            <w:r w:rsidRPr="00F00722">
              <w:t>Mesures visant à garantir la responsabilité</w:t>
            </w:r>
            <w:r>
              <w:t> :</w:t>
            </w:r>
          </w:p>
          <w:p w14:paraId="6D342B85" w14:textId="77777777" w:rsidR="00155EF0" w:rsidRPr="00F00722" w:rsidRDefault="00155EF0" w:rsidP="00155EF0"/>
        </w:tc>
        <w:tc>
          <w:tcPr>
            <w:tcW w:w="4745" w:type="dxa"/>
            <w:shd w:val="clear" w:color="auto" w:fill="auto"/>
          </w:tcPr>
          <w:p w14:paraId="05767B8A" w14:textId="77777777" w:rsidR="00155EF0" w:rsidRDefault="00155EF0" w:rsidP="00155EF0"/>
        </w:tc>
      </w:tr>
      <w:tr w:rsidR="00155EF0" w14:paraId="1835A2D5" w14:textId="77777777" w:rsidTr="00155EF0">
        <w:tc>
          <w:tcPr>
            <w:tcW w:w="4815" w:type="dxa"/>
            <w:shd w:val="clear" w:color="auto" w:fill="auto"/>
          </w:tcPr>
          <w:p w14:paraId="739F7569" w14:textId="77777777" w:rsidR="00155EF0" w:rsidRDefault="00155EF0" w:rsidP="00155EF0">
            <w:r w:rsidRPr="00F00722">
              <w:t>Mesures permettant la portabilité des données et garantissant l’effacement</w:t>
            </w:r>
            <w:r>
              <w:t> :</w:t>
            </w:r>
          </w:p>
          <w:p w14:paraId="4768206D" w14:textId="77777777" w:rsidR="00155EF0" w:rsidRPr="00F00722" w:rsidRDefault="00155EF0" w:rsidP="00155EF0"/>
        </w:tc>
        <w:tc>
          <w:tcPr>
            <w:tcW w:w="4745" w:type="dxa"/>
            <w:shd w:val="clear" w:color="auto" w:fill="auto"/>
          </w:tcPr>
          <w:p w14:paraId="00B0C301" w14:textId="77777777" w:rsidR="00155EF0" w:rsidRDefault="00155EF0" w:rsidP="00155EF0"/>
        </w:tc>
      </w:tr>
      <w:tr w:rsidR="00155EF0" w14:paraId="7469EB80" w14:textId="77777777" w:rsidTr="00155EF0">
        <w:tc>
          <w:tcPr>
            <w:tcW w:w="4815" w:type="dxa"/>
            <w:shd w:val="clear" w:color="auto" w:fill="auto"/>
          </w:tcPr>
          <w:p w14:paraId="5CB471F6" w14:textId="77777777" w:rsidR="00155EF0" w:rsidRDefault="00155EF0" w:rsidP="00155EF0">
            <w:r w:rsidRPr="00F00722">
              <w:t>Pour les transferts vers des sous-traitants (ultérieurs), décrire également les mesures techniques et organisationnelles spécifiques que doit prendre le sous-traitant (ultérieur) pour être en mesure de prêter assistance au responsable du traitement</w:t>
            </w:r>
            <w:r>
              <w:t> :</w:t>
            </w:r>
          </w:p>
          <w:p w14:paraId="1184D2A2" w14:textId="77777777" w:rsidR="00155EF0" w:rsidRPr="00F00722" w:rsidRDefault="00155EF0" w:rsidP="00155EF0"/>
        </w:tc>
        <w:tc>
          <w:tcPr>
            <w:tcW w:w="4745" w:type="dxa"/>
            <w:shd w:val="clear" w:color="auto" w:fill="auto"/>
          </w:tcPr>
          <w:p w14:paraId="2F914DFF" w14:textId="77777777" w:rsidR="00155EF0" w:rsidRDefault="00155EF0" w:rsidP="00155EF0"/>
        </w:tc>
      </w:tr>
      <w:tr w:rsidR="00155EF0" w14:paraId="3232717C" w14:textId="77777777" w:rsidTr="00155EF0">
        <w:tc>
          <w:tcPr>
            <w:tcW w:w="4815" w:type="dxa"/>
            <w:shd w:val="clear" w:color="auto" w:fill="auto"/>
          </w:tcPr>
          <w:p w14:paraId="1E7C92BA" w14:textId="77777777" w:rsidR="00155EF0" w:rsidRPr="00F00722" w:rsidRDefault="00155EF0" w:rsidP="00155EF0">
            <w:r w:rsidRPr="00F00722">
              <w:t>Description des mesures techniques et organisationnelles spécifiques que le sous-traitant doit prendre pour pouvoir prêter assistance au responsable du traitement</w:t>
            </w:r>
            <w:r>
              <w:t> :</w:t>
            </w:r>
          </w:p>
          <w:p w14:paraId="2C159B8D" w14:textId="77777777" w:rsidR="00155EF0" w:rsidRPr="00F00722" w:rsidRDefault="00155EF0" w:rsidP="00155EF0"/>
        </w:tc>
        <w:tc>
          <w:tcPr>
            <w:tcW w:w="4745" w:type="dxa"/>
            <w:shd w:val="clear" w:color="auto" w:fill="auto"/>
          </w:tcPr>
          <w:p w14:paraId="53FD299E" w14:textId="77777777" w:rsidR="00155EF0" w:rsidRDefault="00155EF0" w:rsidP="00155EF0"/>
        </w:tc>
      </w:tr>
    </w:tbl>
    <w:p w14:paraId="543868C7" w14:textId="77777777" w:rsidR="00155EF0" w:rsidRPr="00D54C7D" w:rsidRDefault="00155EF0" w:rsidP="00155EF0">
      <w:pPr>
        <w:pStyle w:val="Sansinterligne"/>
      </w:pPr>
      <w:r w:rsidRPr="00D54C7D">
        <w:t>Liste de sous-traitants ultérieurs</w:t>
      </w:r>
    </w:p>
    <w:p w14:paraId="1318861E" w14:textId="77777777" w:rsidR="00155EF0" w:rsidRDefault="00155EF0" w:rsidP="00155EF0">
      <w:r w:rsidRPr="00F00722">
        <w:t>L</w:t>
      </w:r>
      <w:r>
        <w:t xml:space="preserve">e présent article doit être </w:t>
      </w:r>
      <w:r w:rsidRPr="00F00722">
        <w:t>complété en cas d’autorisation spécifique de sous-traitants ultérieurs</w:t>
      </w:r>
      <w:r>
        <w:t>. Le tableau doit être dupliqué pour chaque nouveau sous-traitant.</w:t>
      </w:r>
    </w:p>
    <w:p w14:paraId="2EDDEEFD" w14:textId="77777777" w:rsidR="00155EF0" w:rsidRPr="00F00722" w:rsidRDefault="00155EF0" w:rsidP="00155EF0"/>
    <w:p w14:paraId="13261B55" w14:textId="77777777" w:rsidR="00155EF0" w:rsidRPr="00F00722" w:rsidRDefault="00155EF0" w:rsidP="00155EF0">
      <w:r w:rsidRPr="00F00722">
        <w:t>Le responsable du traitement a autorisé le recours aux sous-traitants ultérieurs suivants</w:t>
      </w:r>
      <w:r>
        <w:t xml:space="preserve"> </w:t>
      </w:r>
      <w:r w:rsidRPr="00F007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855"/>
      </w:tblGrid>
      <w:tr w:rsidR="00155EF0" w14:paraId="587A4FD0" w14:textId="77777777" w:rsidTr="00155EF0">
        <w:tc>
          <w:tcPr>
            <w:tcW w:w="4855" w:type="dxa"/>
            <w:vMerge w:val="restart"/>
            <w:shd w:val="clear" w:color="auto" w:fill="auto"/>
          </w:tcPr>
          <w:p w14:paraId="37F340EE" w14:textId="77777777" w:rsidR="00155EF0" w:rsidRDefault="00155EF0" w:rsidP="00155EF0">
            <w:r w:rsidRPr="00F00722">
              <w:t>Sous-traitant(s)</w:t>
            </w:r>
            <w:r>
              <w:t xml:space="preserve"> </w:t>
            </w:r>
            <w:r w:rsidRPr="00F00722">
              <w:t xml:space="preserve">: </w:t>
            </w:r>
          </w:p>
          <w:p w14:paraId="0A0EB505" w14:textId="77777777" w:rsidR="00155EF0" w:rsidRDefault="00155EF0" w:rsidP="00155EF0">
            <w:r w:rsidRPr="00272CB1">
              <w:rPr>
                <w:i/>
                <w:iCs/>
                <w:sz w:val="18"/>
                <w:szCs w:val="22"/>
              </w:rPr>
              <w:t>[Identité et coordonnées du ou des sous-traitants et, le cas échéant, du délégué à la protection des données du sous-traitant]</w:t>
            </w:r>
          </w:p>
        </w:tc>
        <w:tc>
          <w:tcPr>
            <w:tcW w:w="4855" w:type="dxa"/>
            <w:shd w:val="clear" w:color="auto" w:fill="auto"/>
          </w:tcPr>
          <w:p w14:paraId="71432A06" w14:textId="77777777" w:rsidR="00155EF0" w:rsidRDefault="00155EF0" w:rsidP="00155EF0">
            <w:r>
              <w:t>Nom :</w:t>
            </w:r>
          </w:p>
          <w:p w14:paraId="38B024A3" w14:textId="77777777" w:rsidR="00155EF0" w:rsidRDefault="00155EF0" w:rsidP="00155EF0"/>
        </w:tc>
      </w:tr>
      <w:tr w:rsidR="00155EF0" w14:paraId="6D5D15C7" w14:textId="77777777" w:rsidTr="00155EF0">
        <w:tc>
          <w:tcPr>
            <w:tcW w:w="4855" w:type="dxa"/>
            <w:vMerge/>
            <w:shd w:val="clear" w:color="auto" w:fill="auto"/>
          </w:tcPr>
          <w:p w14:paraId="6754CD28" w14:textId="77777777" w:rsidR="00155EF0" w:rsidRDefault="00155EF0" w:rsidP="00155EF0"/>
        </w:tc>
        <w:tc>
          <w:tcPr>
            <w:tcW w:w="4855" w:type="dxa"/>
            <w:shd w:val="clear" w:color="auto" w:fill="auto"/>
          </w:tcPr>
          <w:p w14:paraId="3B4F5544" w14:textId="77777777" w:rsidR="00155EF0" w:rsidRDefault="00155EF0" w:rsidP="00155EF0">
            <w:r>
              <w:t>Adresse :</w:t>
            </w:r>
          </w:p>
          <w:p w14:paraId="6D86F475" w14:textId="77777777" w:rsidR="00155EF0" w:rsidRDefault="00155EF0" w:rsidP="00155EF0"/>
        </w:tc>
      </w:tr>
      <w:tr w:rsidR="00155EF0" w14:paraId="54D3ECA6" w14:textId="77777777" w:rsidTr="00155EF0">
        <w:tc>
          <w:tcPr>
            <w:tcW w:w="4855" w:type="dxa"/>
            <w:vMerge/>
            <w:shd w:val="clear" w:color="auto" w:fill="auto"/>
          </w:tcPr>
          <w:p w14:paraId="27195514" w14:textId="77777777" w:rsidR="00155EF0" w:rsidRDefault="00155EF0" w:rsidP="00155EF0"/>
        </w:tc>
        <w:tc>
          <w:tcPr>
            <w:tcW w:w="4855" w:type="dxa"/>
            <w:shd w:val="clear" w:color="auto" w:fill="auto"/>
          </w:tcPr>
          <w:p w14:paraId="11E19565" w14:textId="77777777" w:rsidR="00155EF0" w:rsidRDefault="00155EF0" w:rsidP="00155EF0">
            <w:r>
              <w:t>Délégué à la protection des données :</w:t>
            </w:r>
          </w:p>
          <w:p w14:paraId="162CEEDA" w14:textId="77777777" w:rsidR="00155EF0" w:rsidRDefault="00155EF0" w:rsidP="00155EF0"/>
        </w:tc>
      </w:tr>
      <w:tr w:rsidR="00155EF0" w14:paraId="759F03D8" w14:textId="77777777" w:rsidTr="00155EF0">
        <w:tc>
          <w:tcPr>
            <w:tcW w:w="4855" w:type="dxa"/>
            <w:shd w:val="clear" w:color="auto" w:fill="auto"/>
          </w:tcPr>
          <w:p w14:paraId="612A72C5" w14:textId="77777777" w:rsidR="00155EF0" w:rsidRDefault="00155EF0" w:rsidP="00155EF0">
            <w:r w:rsidRPr="00F00722">
              <w:t xml:space="preserve">Description du traitement </w:t>
            </w:r>
            <w:r w:rsidRPr="00272CB1">
              <w:rPr>
                <w:i/>
                <w:iCs/>
              </w:rPr>
              <w:t>(y compris une délimitation claire des responsabilités dans le cas où plusieurs sous-traitants ultérieurs sont autorisés)</w:t>
            </w:r>
            <w:r>
              <w:t> :</w:t>
            </w:r>
          </w:p>
        </w:tc>
        <w:tc>
          <w:tcPr>
            <w:tcW w:w="4855" w:type="dxa"/>
            <w:shd w:val="clear" w:color="auto" w:fill="auto"/>
          </w:tcPr>
          <w:p w14:paraId="3481E0EF" w14:textId="77777777" w:rsidR="00155EF0" w:rsidRDefault="00155EF0" w:rsidP="00155EF0"/>
        </w:tc>
      </w:tr>
    </w:tbl>
    <w:p w14:paraId="70635932" w14:textId="77777777" w:rsidR="00155EF0" w:rsidRDefault="00155EF0"/>
    <w:sectPr w:rsidR="00155EF0" w:rsidSect="00155EF0">
      <w:headerReference w:type="default" r:id="rId9"/>
      <w:footerReference w:type="default" r:id="rId10"/>
      <w:pgSz w:w="11906" w:h="16838" w:code="9"/>
      <w:pgMar w:top="1134" w:right="1134" w:bottom="1134" w:left="1134" w:header="425"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16F6A" w14:textId="77777777" w:rsidR="00155EF0" w:rsidRDefault="00155EF0">
      <w:r>
        <w:separator/>
      </w:r>
    </w:p>
  </w:endnote>
  <w:endnote w:type="continuationSeparator" w:id="0">
    <w:p w14:paraId="390A5BD6" w14:textId="77777777" w:rsidR="00155EF0" w:rsidRDefault="00155EF0">
      <w:r>
        <w:continuationSeparator/>
      </w:r>
    </w:p>
  </w:endnote>
  <w:endnote w:type="continuationNotice" w:id="1">
    <w:p w14:paraId="793C7113" w14:textId="77777777" w:rsidR="00155EF0" w:rsidRDefault="0015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5DF8" w14:textId="77777777" w:rsidR="00155EF0" w:rsidRPr="004201DB" w:rsidRDefault="00155EF0" w:rsidP="00155EF0">
    <w:pPr>
      <w:pStyle w:val="Pieddepage"/>
      <w:tabs>
        <w:tab w:val="clear" w:pos="4153"/>
        <w:tab w:val="clear" w:pos="8306"/>
        <w:tab w:val="right" w:pos="8505"/>
      </w:tabs>
      <w:rPr>
        <w:rFonts w:cs="Calibri"/>
        <w:sz w:val="18"/>
        <w:szCs w:val="18"/>
      </w:rPr>
    </w:pPr>
  </w:p>
  <w:p w14:paraId="5679E908" w14:textId="5A23B5D6" w:rsidR="00155EF0" w:rsidRPr="004201DB" w:rsidRDefault="00155EF0" w:rsidP="00155EF0">
    <w:pPr>
      <w:pStyle w:val="Pieddepage"/>
      <w:tabs>
        <w:tab w:val="clear" w:pos="4153"/>
        <w:tab w:val="clear" w:pos="8306"/>
        <w:tab w:val="left" w:pos="7655"/>
      </w:tabs>
      <w:rPr>
        <w:rFonts w:cs="Calibri"/>
        <w:sz w:val="18"/>
        <w:szCs w:val="18"/>
      </w:rPr>
    </w:pPr>
    <w:r w:rsidRPr="004201DB">
      <w:rPr>
        <w:rFonts w:cs="Calibri"/>
        <w:sz w:val="18"/>
        <w:szCs w:val="18"/>
      </w:rPr>
      <w:t xml:space="preserve">C.C.A.P. </w:t>
    </w:r>
    <w:r w:rsidR="00593B88">
      <w:rPr>
        <w:rFonts w:cs="Calibri"/>
        <w:sz w:val="18"/>
        <w:szCs w:val="18"/>
      </w:rPr>
      <w:t>–</w:t>
    </w:r>
    <w:r w:rsidRPr="004201DB">
      <w:rPr>
        <w:rFonts w:cs="Calibri"/>
        <w:sz w:val="18"/>
        <w:szCs w:val="18"/>
      </w:rPr>
      <w:t xml:space="preserve"> </w:t>
    </w:r>
    <w:r w:rsidR="00593B88">
      <w:rPr>
        <w:rFonts w:cs="Calibri"/>
        <w:bCs/>
        <w:color w:val="000000"/>
        <w:sz w:val="18"/>
        <w:szCs w:val="18"/>
      </w:rPr>
      <w:t>Annexe 1</w:t>
    </w:r>
    <w:r w:rsidRPr="004201DB">
      <w:rPr>
        <w:rFonts w:cs="Calibri"/>
        <w:bCs/>
        <w:sz w:val="18"/>
        <w:szCs w:val="18"/>
      </w:rPr>
      <w:tab/>
    </w:r>
    <w:r w:rsidRPr="004201DB">
      <w:rPr>
        <w:rFonts w:cs="Calibri"/>
        <w:bCs/>
        <w:sz w:val="18"/>
        <w:szCs w:val="18"/>
      </w:rPr>
      <w:tab/>
    </w:r>
    <w:r w:rsidRPr="004201DB">
      <w:rPr>
        <w:rFonts w:cs="Calibri"/>
        <w:sz w:val="18"/>
        <w:szCs w:val="18"/>
      </w:rPr>
      <w:t xml:space="preserve">Page </w:t>
    </w:r>
    <w:r w:rsidRPr="004201DB">
      <w:rPr>
        <w:rFonts w:cs="Calibri"/>
        <w:b/>
        <w:bCs/>
        <w:sz w:val="18"/>
        <w:szCs w:val="18"/>
      </w:rPr>
      <w:fldChar w:fldCharType="begin"/>
    </w:r>
    <w:r w:rsidRPr="004201DB">
      <w:rPr>
        <w:rFonts w:cs="Calibri"/>
        <w:b/>
        <w:bCs/>
        <w:sz w:val="18"/>
        <w:szCs w:val="18"/>
      </w:rPr>
      <w:instrText>PAGE</w:instrText>
    </w:r>
    <w:r w:rsidRPr="004201DB">
      <w:rPr>
        <w:rFonts w:cs="Calibri"/>
        <w:b/>
        <w:bCs/>
        <w:sz w:val="18"/>
        <w:szCs w:val="18"/>
      </w:rPr>
      <w:fldChar w:fldCharType="separate"/>
    </w:r>
    <w:r w:rsidRPr="004201DB">
      <w:rPr>
        <w:rFonts w:cs="Calibri"/>
        <w:b/>
        <w:bCs/>
        <w:sz w:val="18"/>
        <w:szCs w:val="18"/>
      </w:rPr>
      <w:t>27</w:t>
    </w:r>
    <w:r w:rsidRPr="004201DB">
      <w:rPr>
        <w:rFonts w:cs="Calibri"/>
        <w:b/>
        <w:bCs/>
        <w:sz w:val="18"/>
        <w:szCs w:val="18"/>
      </w:rPr>
      <w:fldChar w:fldCharType="end"/>
    </w:r>
    <w:r w:rsidRPr="004201DB">
      <w:rPr>
        <w:rFonts w:cs="Calibri"/>
        <w:sz w:val="18"/>
        <w:szCs w:val="18"/>
      </w:rPr>
      <w:t xml:space="preserve"> sur </w:t>
    </w:r>
    <w:r w:rsidRPr="004201DB">
      <w:rPr>
        <w:rFonts w:cs="Calibri"/>
        <w:b/>
        <w:bCs/>
        <w:sz w:val="18"/>
        <w:szCs w:val="18"/>
      </w:rPr>
      <w:fldChar w:fldCharType="begin"/>
    </w:r>
    <w:r w:rsidRPr="004201DB">
      <w:rPr>
        <w:rFonts w:cs="Calibri"/>
        <w:b/>
        <w:bCs/>
        <w:sz w:val="18"/>
        <w:szCs w:val="18"/>
      </w:rPr>
      <w:instrText>NUMPAGES</w:instrText>
    </w:r>
    <w:r w:rsidRPr="004201DB">
      <w:rPr>
        <w:rFonts w:cs="Calibri"/>
        <w:b/>
        <w:bCs/>
        <w:sz w:val="18"/>
        <w:szCs w:val="18"/>
      </w:rPr>
      <w:fldChar w:fldCharType="separate"/>
    </w:r>
    <w:r w:rsidRPr="004201DB">
      <w:rPr>
        <w:rFonts w:cs="Calibri"/>
        <w:b/>
        <w:bCs/>
        <w:sz w:val="18"/>
        <w:szCs w:val="18"/>
      </w:rPr>
      <w:t>27</w:t>
    </w:r>
    <w:r w:rsidRPr="004201DB">
      <w:rPr>
        <w:rFonts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2137D" w14:textId="77777777" w:rsidR="00155EF0" w:rsidRDefault="00155EF0">
      <w:r>
        <w:separator/>
      </w:r>
    </w:p>
  </w:footnote>
  <w:footnote w:type="continuationSeparator" w:id="0">
    <w:p w14:paraId="789FFBA5" w14:textId="77777777" w:rsidR="00155EF0" w:rsidRDefault="00155EF0">
      <w:r>
        <w:continuationSeparator/>
      </w:r>
    </w:p>
  </w:footnote>
  <w:footnote w:type="continuationNotice" w:id="1">
    <w:p w14:paraId="25E11E20" w14:textId="77777777" w:rsidR="00155EF0" w:rsidRDefault="00155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D321" w14:textId="77777777" w:rsidR="00155EF0" w:rsidRPr="00013F0E" w:rsidRDefault="00155EF0" w:rsidP="00155EF0">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90BAA"/>
    <w:multiLevelType w:val="hybridMultilevel"/>
    <w:tmpl w:val="89888AC6"/>
    <w:lvl w:ilvl="0" w:tplc="FFFFFFFF">
      <w:start w:val="1"/>
      <w:numFmt w:val="decimal"/>
      <w:pStyle w:val="sous-titre"/>
      <w:lvlText w:val="II.%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360A0"/>
    <w:multiLevelType w:val="singleLevel"/>
    <w:tmpl w:val="32925AF0"/>
    <w:lvl w:ilvl="0">
      <w:start w:val="3"/>
      <w:numFmt w:val="decimal"/>
      <w:lvlText w:val="%1."/>
      <w:lvlJc w:val="left"/>
      <w:pPr>
        <w:tabs>
          <w:tab w:val="num" w:pos="785"/>
        </w:tabs>
        <w:ind w:left="785" w:hanging="360"/>
      </w:pPr>
      <w:rPr>
        <w:rFonts w:hint="default"/>
      </w:rPr>
    </w:lvl>
  </w:abstractNum>
  <w:abstractNum w:abstractNumId="3" w15:restartNumberingAfterBreak="0">
    <w:nsid w:val="11D253EE"/>
    <w:multiLevelType w:val="hybridMultilevel"/>
    <w:tmpl w:val="3EEC6F3E"/>
    <w:lvl w:ilvl="0" w:tplc="FFFFFFFF">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904BC6"/>
    <w:multiLevelType w:val="singleLevel"/>
    <w:tmpl w:val="420894B6"/>
    <w:lvl w:ilvl="0">
      <w:start w:val="3"/>
      <w:numFmt w:val="bullet"/>
      <w:lvlText w:val="-"/>
      <w:lvlJc w:val="left"/>
      <w:pPr>
        <w:tabs>
          <w:tab w:val="num" w:pos="786"/>
        </w:tabs>
        <w:ind w:left="786" w:hanging="360"/>
      </w:pPr>
      <w:rPr>
        <w:rFonts w:hint="default"/>
      </w:rPr>
    </w:lvl>
  </w:abstractNum>
  <w:abstractNum w:abstractNumId="5" w15:restartNumberingAfterBreak="0">
    <w:nsid w:val="18095964"/>
    <w:multiLevelType w:val="hybridMultilevel"/>
    <w:tmpl w:val="55F87B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4793B"/>
    <w:multiLevelType w:val="multilevel"/>
    <w:tmpl w:val="4CD0481A"/>
    <w:lvl w:ilvl="0">
      <w:start w:val="1"/>
      <w:numFmt w:val="decimal"/>
      <w:pStyle w:val="Titre2"/>
      <w:lvlText w:val="Article %1."/>
      <w:lvlJc w:val="left"/>
      <w:pPr>
        <w:ind w:left="360" w:hanging="360"/>
      </w:pPr>
      <w:rPr>
        <w:rFonts w:ascii="Calibri" w:hAnsi="Calibri" w:hint="default"/>
        <w:b/>
        <w:i w:val="0"/>
        <w:caps/>
        <w:sz w:val="24"/>
      </w:rPr>
    </w:lvl>
    <w:lvl w:ilvl="1">
      <w:start w:val="1"/>
      <w:numFmt w:val="decimal"/>
      <w:pStyle w:val="Titr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Paragraphedeliste"/>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971B9"/>
    <w:multiLevelType w:val="hybridMultilevel"/>
    <w:tmpl w:val="44C83DFE"/>
    <w:lvl w:ilvl="0" w:tplc="FFFFFFFF">
      <w:start w:val="1"/>
      <w:numFmt w:val="decimal"/>
      <w:pStyle w:val="Appendix"/>
      <w:lvlText w:val="ANNEXE %1 - "/>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52A87"/>
    <w:multiLevelType w:val="hybridMultilevel"/>
    <w:tmpl w:val="857C489A"/>
    <w:lvl w:ilvl="0" w:tplc="FFFFFFFF">
      <w:start w:val="1"/>
      <w:numFmt w:val="decimal"/>
      <w:lvlText w:val="%1 - "/>
      <w:lvlJc w:val="left"/>
      <w:pPr>
        <w:ind w:left="916" w:hanging="360"/>
      </w:pPr>
      <w:rPr>
        <w:rFonts w:ascii="Ebrima" w:hAnsi="Ebrima"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D3868"/>
    <w:multiLevelType w:val="hybridMultilevel"/>
    <w:tmpl w:val="545813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03BE2"/>
    <w:multiLevelType w:val="multilevel"/>
    <w:tmpl w:val="CE1A3030"/>
    <w:lvl w:ilvl="0">
      <w:start w:val="1"/>
      <w:numFmt w:val="upperRoman"/>
      <w:suff w:val="space"/>
      <w:lvlText w:val="%1."/>
      <w:lvlJc w:val="left"/>
      <w:pPr>
        <w:ind w:left="432" w:hanging="432"/>
      </w:pPr>
      <w:rPr>
        <w:rFonts w:ascii="Calibri" w:hAnsi="Calibri" w:hint="default"/>
        <w:b/>
        <w:i w:val="0"/>
        <w:color w:val="FFFFFF"/>
        <w:sz w:val="28"/>
      </w:rPr>
    </w:lvl>
    <w:lvl w:ilvl="1">
      <w:start w:val="1"/>
      <w:numFmt w:val="decimal"/>
      <w:lvlText w:val="Article %2."/>
      <w:lvlJc w:val="left"/>
      <w:pPr>
        <w:ind w:left="0" w:firstLine="0"/>
      </w:pPr>
      <w:rPr>
        <w:rFonts w:hint="default"/>
        <w:b w:val="0"/>
        <w:i w:val="0"/>
        <w:color w:val="2E74B5"/>
        <w:sz w:val="24"/>
        <w:szCs w:val="24"/>
        <w:u w:val="none"/>
        <w:lang w:val="en-GB"/>
      </w:rPr>
    </w:lvl>
    <w:lvl w:ilvl="2">
      <w:start w:val="1"/>
      <w:numFmt w:val="decimal"/>
      <w:suff w:val="space"/>
      <w:lvlText w:val="%1.%2.%3"/>
      <w:lvlJc w:val="left"/>
      <w:pPr>
        <w:ind w:left="1588" w:hanging="1588"/>
      </w:pPr>
      <w:rPr>
        <w:rFonts w:ascii="Tahoma" w:hAnsi="Tahoma" w:hint="default"/>
        <w:b/>
        <w:i w:val="0"/>
        <w:color w:val="000080"/>
        <w:sz w:val="24"/>
        <w:szCs w:val="24"/>
      </w:rPr>
    </w:lvl>
    <w:lvl w:ilvl="3">
      <w:start w:val="1"/>
      <w:numFmt w:val="decimal"/>
      <w:pStyle w:val="Titre4"/>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E63E8B"/>
    <w:multiLevelType w:val="hybridMultilevel"/>
    <w:tmpl w:val="8D5C87BA"/>
    <w:lvl w:ilvl="0" w:tplc="FFFFFFFF">
      <w:start w:val="1"/>
      <w:numFmt w:val="decimal"/>
      <w:lvlText w:val="Article %1."/>
      <w:lvlJc w:val="left"/>
      <w:pPr>
        <w:ind w:left="360" w:hanging="360"/>
      </w:pPr>
      <w:rPr>
        <w:rFonts w:hint="default"/>
        <w:cap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C2C01"/>
    <w:multiLevelType w:val="hybridMultilevel"/>
    <w:tmpl w:val="F208E780"/>
    <w:lvl w:ilvl="0" w:tplc="FFFFFFFF">
      <w:start w:val="1"/>
      <w:numFmt w:val="decimal"/>
      <w:pStyle w:val="Titre1"/>
      <w:lvlText w:val="Partie %1."/>
      <w:lvlJc w:val="left"/>
      <w:rPr>
        <w:rFonts w:ascii="Calibri" w:hAnsi="Calibri" w:hint="default"/>
        <w:b/>
        <w:i w:val="0"/>
        <w:caps/>
        <w:color w:val="2F4F9D"/>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EF28E5"/>
    <w:multiLevelType w:val="hybridMultilevel"/>
    <w:tmpl w:val="3084C5C4"/>
    <w:lvl w:ilvl="0" w:tplc="FFFFFFFF">
      <w:start w:val="1"/>
      <w:numFmt w:val="decimal"/>
      <w:lvlText w:val="%1 - "/>
      <w:lvlJc w:val="left"/>
      <w:pPr>
        <w:ind w:left="720" w:hanging="360"/>
      </w:pPr>
      <w:rPr>
        <w:rFonts w:ascii="Ebrima" w:hAnsi="Ebrima" w:hint="default"/>
        <w:b/>
        <w:i w:val="0"/>
        <w:cap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BB3F8E"/>
    <w:multiLevelType w:val="multilevel"/>
    <w:tmpl w:val="E670148A"/>
    <w:lvl w:ilvl="0">
      <w:start w:val="1"/>
      <w:numFmt w:val="decimal"/>
      <w:suff w:val="space"/>
      <w:lvlText w:val="Partie %1 - "/>
      <w:lvlJc w:val="left"/>
      <w:pPr>
        <w:ind w:left="720" w:hanging="360"/>
      </w:pPr>
    </w:lvl>
    <w:lvl w:ilvl="1">
      <w:start w:val="1"/>
      <w:numFmt w:val="decimal"/>
      <w:suff w:val="space"/>
      <w:lvlText w:val="Article %2."/>
      <w:lvlJc w:val="left"/>
      <w:pPr>
        <w:ind w:left="1440" w:hanging="360"/>
      </w:pPr>
    </w:lvl>
    <w:lvl w:ilvl="2">
      <w:start w:val="1"/>
      <w:numFmt w:val="decimal"/>
      <w:suff w:val="space"/>
      <w:lvlText w:val="%2.%3 - "/>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75804E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D5C4B90"/>
    <w:multiLevelType w:val="hybridMultilevel"/>
    <w:tmpl w:val="2208D3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AD7DD6"/>
    <w:multiLevelType w:val="hybridMultilevel"/>
    <w:tmpl w:val="812CD1D2"/>
    <w:lvl w:ilvl="0" w:tplc="FFFFFFFF">
      <w:start w:val="2"/>
      <w:numFmt w:val="bullet"/>
      <w:lvlText w:val="-"/>
      <w:lvlJc w:val="left"/>
      <w:pPr>
        <w:ind w:left="720" w:hanging="360"/>
      </w:pPr>
      <w:rPr>
        <w:rFonts w:ascii="Ebrima" w:eastAsia="Times New Roman" w:hAnsi="Ebrim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AD7653"/>
    <w:multiLevelType w:val="hybridMultilevel"/>
    <w:tmpl w:val="80081FB4"/>
    <w:lvl w:ilvl="0" w:tplc="FFFFFFFF">
      <w:start w:val="1"/>
      <w:numFmt w:val="decimal"/>
      <w:pStyle w:val="Sansinterligne"/>
      <w:lvlText w:val="Article %1 .  "/>
      <w:lvlJc w:val="left"/>
      <w:pPr>
        <w:ind w:left="720" w:hanging="360"/>
      </w:pPr>
      <w:rPr>
        <w:rFonts w:ascii="Calibri" w:hAnsi="Calibri" w:hint="default"/>
        <w:b/>
        <w:i w:val="0"/>
        <w:cap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D12D9F"/>
    <w:multiLevelType w:val="multilevel"/>
    <w:tmpl w:val="EBE66BC2"/>
    <w:lvl w:ilvl="0">
      <w:start w:val="1"/>
      <w:numFmt w:val="decimal"/>
      <w:suff w:val="space"/>
      <w:lvlText w:val="Partie %1 - "/>
      <w:lvlJc w:val="left"/>
      <w:pPr>
        <w:ind w:left="720" w:hanging="360"/>
      </w:pPr>
      <w:rPr>
        <w:rFonts w:ascii="Ebrima" w:hAnsi="Ebrima" w:hint="default"/>
        <w:b/>
        <w:i w:val="0"/>
        <w:caps/>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DE7166F"/>
    <w:multiLevelType w:val="hybridMultilevel"/>
    <w:tmpl w:val="5C6E7F4C"/>
    <w:lvl w:ilvl="0" w:tplc="FFFFFFFF">
      <w:start w:val="30"/>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0948BF"/>
    <w:multiLevelType w:val="multilevel"/>
    <w:tmpl w:val="2DB0136C"/>
    <w:lvl w:ilvl="0">
      <w:numFmt w:val="bullet"/>
      <w:lvlText w:val="-"/>
      <w:lvlJc w:val="left"/>
      <w:pPr>
        <w:ind w:left="1494" w:hanging="360"/>
      </w:pPr>
      <w:rPr>
        <w:rFonts w:ascii="Times New Roman" w:eastAsia="SimSun" w:hAnsi="Times New Roman" w:cs="Times New Roman"/>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22" w15:restartNumberingAfterBreak="0">
    <w:nsid w:val="705B3564"/>
    <w:multiLevelType w:val="hybridMultilevel"/>
    <w:tmpl w:val="9B489FDA"/>
    <w:lvl w:ilvl="0" w:tplc="FFFFFFFF">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D5793F"/>
    <w:multiLevelType w:val="hybridMultilevel"/>
    <w:tmpl w:val="D7903CA4"/>
    <w:lvl w:ilvl="0" w:tplc="FFFFFFFF">
      <w:start w:val="1"/>
      <w:numFmt w:val="decimal"/>
      <w:lvlText w:val="Article %1."/>
      <w:lvlJc w:val="left"/>
      <w:pPr>
        <w:ind w:left="697" w:hanging="360"/>
      </w:pPr>
      <w:rPr>
        <w:rFonts w:ascii="Calibri" w:hAnsi="Calibri" w:hint="default"/>
        <w:b/>
        <w:i w:val="0"/>
        <w:cap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5B5138"/>
    <w:multiLevelType w:val="hybridMultilevel"/>
    <w:tmpl w:val="80C21A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9C2407"/>
    <w:multiLevelType w:val="hybridMultilevel"/>
    <w:tmpl w:val="750EF4AC"/>
    <w:lvl w:ilvl="0" w:tplc="FFFFFFFF">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082747"/>
    <w:multiLevelType w:val="hybridMultilevel"/>
    <w:tmpl w:val="66EE17A2"/>
    <w:lvl w:ilvl="0" w:tplc="FFFFFFFF">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3B63F7"/>
    <w:multiLevelType w:val="hybridMultilevel"/>
    <w:tmpl w:val="865AC1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3B63F8"/>
    <w:multiLevelType w:val="hybridMultilevel"/>
    <w:tmpl w:val="266666AA"/>
    <w:lvl w:ilvl="0" w:tplc="FFFFFFFF">
      <w:start w:val="1"/>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3B63F9"/>
    <w:multiLevelType w:val="hybridMultilevel"/>
    <w:tmpl w:val="AA7845E2"/>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3B63FA"/>
    <w:multiLevelType w:val="hybridMultilevel"/>
    <w:tmpl w:val="DE3418F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3B63FB"/>
    <w:multiLevelType w:val="hybridMultilevel"/>
    <w:tmpl w:val="B5667A30"/>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3B63FC"/>
    <w:multiLevelType w:val="hybridMultilevel"/>
    <w:tmpl w:val="A410878E"/>
    <w:lvl w:ilvl="0" w:tplc="FFFFFFFF">
      <w:start w:val="1"/>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3B63FD"/>
    <w:multiLevelType w:val="hybridMultilevel"/>
    <w:tmpl w:val="C0504AF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E3B63FE"/>
    <w:multiLevelType w:val="hybridMultilevel"/>
    <w:tmpl w:val="C0504AF6"/>
    <w:lvl w:ilvl="0" w:tplc="FFFFFFFF">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6105685">
    <w:abstractNumId w:val="10"/>
  </w:num>
  <w:num w:numId="2" w16cid:durableId="1375160030">
    <w:abstractNumId w:val="2"/>
  </w:num>
  <w:num w:numId="3" w16cid:durableId="1715079493">
    <w:abstractNumId w:val="4"/>
  </w:num>
  <w:num w:numId="4" w16cid:durableId="1064336004">
    <w:abstractNumId w:val="20"/>
  </w:num>
  <w:num w:numId="5" w16cid:durableId="2120449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328071">
    <w:abstractNumId w:val="7"/>
  </w:num>
  <w:num w:numId="7" w16cid:durableId="693263271">
    <w:abstractNumId w:val="26"/>
  </w:num>
  <w:num w:numId="8" w16cid:durableId="1400715104">
    <w:abstractNumId w:val="22"/>
  </w:num>
  <w:num w:numId="9" w16cid:durableId="233902259">
    <w:abstractNumId w:val="25"/>
  </w:num>
  <w:num w:numId="10" w16cid:durableId="1513761807">
    <w:abstractNumId w:val="9"/>
  </w:num>
  <w:num w:numId="11" w16cid:durableId="43062900">
    <w:abstractNumId w:val="3"/>
  </w:num>
  <w:num w:numId="12" w16cid:durableId="68692384">
    <w:abstractNumId w:val="1"/>
  </w:num>
  <w:num w:numId="13" w16cid:durableId="353312561">
    <w:abstractNumId w:val="11"/>
  </w:num>
  <w:num w:numId="14" w16cid:durableId="1680350455">
    <w:abstractNumId w:val="11"/>
    <w:lvlOverride w:ilvl="0">
      <w:startOverride w:val="1"/>
    </w:lvlOverride>
  </w:num>
  <w:num w:numId="15" w16cid:durableId="1758139492">
    <w:abstractNumId w:val="11"/>
    <w:lvlOverride w:ilvl="0">
      <w:startOverride w:val="1"/>
    </w:lvlOverride>
  </w:num>
  <w:num w:numId="16" w16cid:durableId="1957565961">
    <w:abstractNumId w:val="5"/>
  </w:num>
  <w:num w:numId="17" w16cid:durableId="441002621">
    <w:abstractNumId w:val="19"/>
  </w:num>
  <w:num w:numId="18" w16cid:durableId="689570558">
    <w:abstractNumId w:val="13"/>
  </w:num>
  <w:num w:numId="19" w16cid:durableId="64568227">
    <w:abstractNumId w:val="8"/>
  </w:num>
  <w:num w:numId="20" w16cid:durableId="156893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8446885">
    <w:abstractNumId w:val="15"/>
  </w:num>
  <w:num w:numId="22" w16cid:durableId="1283417188">
    <w:abstractNumId w:val="6"/>
  </w:num>
  <w:num w:numId="23" w16cid:durableId="202788118">
    <w:abstractNumId w:val="24"/>
  </w:num>
  <w:num w:numId="24" w16cid:durableId="446659432">
    <w:abstractNumId w:val="0"/>
  </w:num>
  <w:num w:numId="25" w16cid:durableId="274755233">
    <w:abstractNumId w:val="16"/>
  </w:num>
  <w:num w:numId="26" w16cid:durableId="2004425682">
    <w:abstractNumId w:val="27"/>
  </w:num>
  <w:num w:numId="27" w16cid:durableId="2057197480">
    <w:abstractNumId w:val="17"/>
  </w:num>
  <w:num w:numId="28" w16cid:durableId="350229014">
    <w:abstractNumId w:val="18"/>
  </w:num>
  <w:num w:numId="29" w16cid:durableId="287130329">
    <w:abstractNumId w:val="18"/>
  </w:num>
  <w:num w:numId="30" w16cid:durableId="1335064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1173980">
    <w:abstractNumId w:val="23"/>
  </w:num>
  <w:num w:numId="32" w16cid:durableId="1874807528">
    <w:abstractNumId w:val="14"/>
  </w:num>
  <w:num w:numId="33" w16cid:durableId="1662583862">
    <w:abstractNumId w:val="12"/>
  </w:num>
  <w:num w:numId="34" w16cid:durableId="1170826958">
    <w:abstractNumId w:val="21"/>
  </w:num>
  <w:num w:numId="35" w16cid:durableId="670527305">
    <w:abstractNumId w:val="18"/>
    <w:lvlOverride w:ilvl="0">
      <w:startOverride w:val="1"/>
    </w:lvlOverride>
  </w:num>
  <w:num w:numId="36" w16cid:durableId="437873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6813324">
    <w:abstractNumId w:val="28"/>
  </w:num>
  <w:num w:numId="38" w16cid:durableId="1433085203">
    <w:abstractNumId w:val="29"/>
  </w:num>
  <w:num w:numId="39" w16cid:durableId="243103997">
    <w:abstractNumId w:val="30"/>
  </w:num>
  <w:num w:numId="40" w16cid:durableId="1397121558">
    <w:abstractNumId w:val="31"/>
  </w:num>
  <w:num w:numId="41" w16cid:durableId="945847671">
    <w:abstractNumId w:val="32"/>
  </w:num>
  <w:num w:numId="42" w16cid:durableId="145360058">
    <w:abstractNumId w:val="33"/>
  </w:num>
  <w:num w:numId="43" w16cid:durableId="2286583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B6B"/>
    <w:rsid w:val="00155EF0"/>
    <w:rsid w:val="00324523"/>
    <w:rsid w:val="00471756"/>
    <w:rsid w:val="00593B88"/>
    <w:rsid w:val="005C42A0"/>
    <w:rsid w:val="00973706"/>
    <w:rsid w:val="009B6B25"/>
    <w:rsid w:val="00BD73E9"/>
    <w:rsid w:val="00C9021E"/>
    <w:rsid w:val="00E53693"/>
    <w:rsid w:val="00EE3DDB"/>
    <w:rsid w:val="00F90680"/>
    <w:rsid w:val="00FD7B6B"/>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344231"/>
  <w15:chartTrackingRefBased/>
  <w15:docId w15:val="{1688F8FE-BDFC-454F-A650-4D727565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F5"/>
    <w:pPr>
      <w:jc w:val="both"/>
    </w:pPr>
    <w:rPr>
      <w:rFonts w:ascii="Calibri" w:hAnsi="Calibri"/>
      <w:sz w:val="22"/>
      <w:szCs w:val="24"/>
      <w:lang w:eastAsia="en-US"/>
    </w:rPr>
  </w:style>
  <w:style w:type="paragraph" w:styleId="Titre1">
    <w:name w:val="heading 1"/>
    <w:basedOn w:val="Normal"/>
    <w:next w:val="Normal"/>
    <w:link w:val="Titre1Car"/>
    <w:qFormat/>
    <w:rsid w:val="00EB0204"/>
    <w:pPr>
      <w:numPr>
        <w:numId w:val="33"/>
      </w:numPr>
      <w:pBdr>
        <w:bottom w:val="single" w:sz="8" w:space="1" w:color="2F4F9D"/>
      </w:pBdr>
      <w:ind w:hanging="11"/>
      <w:jc w:val="center"/>
      <w:outlineLvl w:val="0"/>
    </w:pPr>
    <w:rPr>
      <w:b/>
      <w:caps/>
      <w:color w:val="2F4F9D"/>
      <w:kern w:val="28"/>
      <w:sz w:val="28"/>
      <w:szCs w:val="32"/>
    </w:rPr>
  </w:style>
  <w:style w:type="paragraph" w:styleId="Titre2">
    <w:name w:val="heading 2"/>
    <w:aliases w:val="2,Chapter x.x,H2,Header 2,Heading 2a,UNDERRUBRIK 1-2,h2,l2"/>
    <w:basedOn w:val="Normal"/>
    <w:next w:val="Normal"/>
    <w:link w:val="Titre2Car"/>
    <w:qFormat/>
    <w:rsid w:val="00EB0204"/>
    <w:pPr>
      <w:keepNext/>
      <w:numPr>
        <w:numId w:val="22"/>
      </w:numPr>
      <w:spacing w:before="480" w:after="120"/>
      <w:ind w:left="0" w:firstLine="0"/>
      <w:outlineLvl w:val="1"/>
    </w:pPr>
    <w:rPr>
      <w:b/>
      <w:caps/>
      <w:color w:val="2F4F9D"/>
      <w:sz w:val="24"/>
      <w:szCs w:val="20"/>
    </w:rPr>
  </w:style>
  <w:style w:type="paragraph" w:styleId="Titre3">
    <w:name w:val="heading 3"/>
    <w:basedOn w:val="Normal"/>
    <w:next w:val="Normal"/>
    <w:link w:val="Titre3Car"/>
    <w:qFormat/>
    <w:rsid w:val="00EB0204"/>
    <w:pPr>
      <w:keepNext/>
      <w:numPr>
        <w:ilvl w:val="1"/>
        <w:numId w:val="22"/>
      </w:numPr>
      <w:spacing w:before="240" w:after="120"/>
      <w:ind w:left="567" w:firstLine="0"/>
      <w:outlineLvl w:val="2"/>
    </w:pPr>
    <w:rPr>
      <w:b/>
      <w:color w:val="2F4F9D"/>
      <w:sz w:val="24"/>
      <w:szCs w:val="20"/>
    </w:rPr>
  </w:style>
  <w:style w:type="paragraph" w:styleId="Titre4">
    <w:name w:val="heading 4"/>
    <w:basedOn w:val="Normal"/>
    <w:next w:val="Normal"/>
    <w:link w:val="Titre4Car"/>
    <w:qFormat/>
    <w:rsid w:val="007461A6"/>
    <w:pPr>
      <w:keepNext/>
      <w:numPr>
        <w:ilvl w:val="3"/>
        <w:numId w:val="1"/>
      </w:numPr>
      <w:spacing w:before="240"/>
      <w:outlineLvl w:val="3"/>
    </w:pPr>
    <w:rPr>
      <w:b/>
      <w:color w:val="000080"/>
      <w:szCs w:val="20"/>
      <w:lang w:val="nl-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A76505"/>
    <w:pPr>
      <w:tabs>
        <w:tab w:val="left" w:pos="1100"/>
        <w:tab w:val="right" w:leader="dot" w:pos="9560"/>
      </w:tabs>
      <w:spacing w:before="120" w:after="120"/>
    </w:pPr>
    <w:rPr>
      <w:b/>
      <w:caps/>
      <w:noProof/>
      <w:sz w:val="20"/>
      <w:szCs w:val="20"/>
      <w:lang w:val="nl-BE" w:eastAsia="nl-BE"/>
    </w:rPr>
  </w:style>
  <w:style w:type="paragraph" w:styleId="TM2">
    <w:name w:val="toc 2"/>
    <w:basedOn w:val="Normal"/>
    <w:next w:val="Normal"/>
    <w:autoRedefine/>
    <w:uiPriority w:val="39"/>
    <w:rsid w:val="004201DB"/>
    <w:pPr>
      <w:tabs>
        <w:tab w:val="left" w:pos="1418"/>
        <w:tab w:val="right" w:leader="dot" w:pos="9560"/>
      </w:tabs>
      <w:ind w:left="180"/>
    </w:pPr>
    <w:rPr>
      <w:smallCaps/>
      <w:noProof/>
      <w:szCs w:val="20"/>
      <w:lang w:val="nl-BE"/>
    </w:rPr>
  </w:style>
  <w:style w:type="paragraph" w:styleId="En-tte">
    <w:name w:val="header"/>
    <w:basedOn w:val="Normal"/>
    <w:link w:val="En-tteCar"/>
    <w:rsid w:val="00B06CFC"/>
    <w:pPr>
      <w:tabs>
        <w:tab w:val="center" w:pos="4536"/>
        <w:tab w:val="right" w:pos="9072"/>
      </w:tabs>
      <w:ind w:left="1701"/>
    </w:pPr>
    <w:rPr>
      <w:sz w:val="18"/>
      <w:szCs w:val="20"/>
      <w:lang w:val="nl-BE"/>
    </w:rPr>
  </w:style>
  <w:style w:type="character" w:styleId="Lienhypertexte">
    <w:name w:val="Hyperlink"/>
    <w:uiPriority w:val="99"/>
    <w:rsid w:val="00B06CFC"/>
    <w:rPr>
      <w:color w:val="0000FF"/>
      <w:u w:val="single"/>
    </w:rPr>
  </w:style>
  <w:style w:type="paragraph" w:styleId="Pieddepage">
    <w:name w:val="footer"/>
    <w:basedOn w:val="Normal"/>
    <w:link w:val="PieddepageCar"/>
    <w:uiPriority w:val="99"/>
    <w:rsid w:val="00B06CFC"/>
    <w:pPr>
      <w:tabs>
        <w:tab w:val="center" w:pos="4153"/>
        <w:tab w:val="right" w:pos="8306"/>
      </w:tabs>
    </w:pPr>
  </w:style>
  <w:style w:type="character" w:styleId="Numrodepage">
    <w:name w:val="page number"/>
    <w:basedOn w:val="Policepardfaut"/>
    <w:rsid w:val="00B06CFC"/>
  </w:style>
  <w:style w:type="paragraph" w:customStyle="1" w:styleId="Label">
    <w:name w:val="Label"/>
    <w:basedOn w:val="En-tte"/>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Normal"/>
    <w:rsid w:val="00B06CFC"/>
    <w:rPr>
      <w:rFonts w:ascii="Arial" w:hAnsi="Arial"/>
      <w:sz w:val="24"/>
      <w:lang w:val="nl-BE"/>
    </w:rPr>
  </w:style>
  <w:style w:type="table" w:styleId="Grilledutableau">
    <w:name w:val="Table Grid"/>
    <w:basedOn w:val="TableauNormal"/>
    <w:uiPriority w:val="39"/>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sid w:val="009A3C56"/>
    <w:rPr>
      <w:rFonts w:cs="Tahoma"/>
      <w:sz w:val="16"/>
      <w:szCs w:val="16"/>
    </w:rPr>
  </w:style>
  <w:style w:type="paragraph" w:styleId="Titre">
    <w:name w:val="Title"/>
    <w:basedOn w:val="Normal"/>
    <w:link w:val="TitreCar"/>
    <w:qFormat/>
    <w:rsid w:val="00A3603F"/>
    <w:pPr>
      <w:spacing w:before="240"/>
      <w:jc w:val="center"/>
      <w:outlineLvl w:val="0"/>
    </w:pPr>
    <w:rPr>
      <w:rFonts w:cs="Arial"/>
      <w:b/>
      <w:bCs/>
      <w:kern w:val="28"/>
      <w:sz w:val="32"/>
      <w:szCs w:val="32"/>
    </w:rPr>
  </w:style>
  <w:style w:type="paragraph" w:styleId="TM3">
    <w:name w:val="toc 3"/>
    <w:basedOn w:val="Normal"/>
    <w:next w:val="Normal"/>
    <w:autoRedefine/>
    <w:uiPriority w:val="39"/>
    <w:rsid w:val="002A4AA9"/>
    <w:pPr>
      <w:tabs>
        <w:tab w:val="right" w:leader="dot" w:pos="9560"/>
      </w:tabs>
      <w:ind w:left="400"/>
    </w:pPr>
    <w:rPr>
      <w:smallCaps/>
      <w:noProof/>
      <w:sz w:val="21"/>
    </w:rPr>
  </w:style>
  <w:style w:type="paragraph" w:styleId="TM4">
    <w:name w:val="toc 4"/>
    <w:basedOn w:val="Normal"/>
    <w:next w:val="Normal"/>
    <w:autoRedefine/>
    <w:semiHidden/>
    <w:rsid w:val="00895CD5"/>
    <w:pPr>
      <w:ind w:left="600"/>
    </w:pPr>
  </w:style>
  <w:style w:type="paragraph" w:styleId="Notedebasdepage">
    <w:name w:val="footnote text"/>
    <w:basedOn w:val="Normal"/>
    <w:link w:val="NotedebasdepageCar"/>
    <w:semiHidden/>
    <w:rsid w:val="00F3781C"/>
    <w:rPr>
      <w:rFonts w:ascii="Arial" w:hAnsi="Arial"/>
      <w:i/>
      <w:sz w:val="18"/>
      <w:szCs w:val="20"/>
      <w:lang w:val="nl-BE" w:eastAsia="nl-NL"/>
    </w:rPr>
  </w:style>
  <w:style w:type="character" w:styleId="Appelnotedebasdep">
    <w:name w:val="footnote reference"/>
    <w:semiHidden/>
    <w:rsid w:val="00F3781C"/>
    <w:rPr>
      <w:vertAlign w:val="superscript"/>
    </w:rPr>
  </w:style>
  <w:style w:type="paragraph" w:customStyle="1" w:styleId="Addendum">
    <w:name w:val="Addendum"/>
    <w:basedOn w:val="Normal"/>
    <w:link w:val="AddendumChar"/>
    <w:rsid w:val="00EA2516"/>
    <w:pPr>
      <w:jc w:val="center"/>
    </w:pPr>
    <w:rPr>
      <w:b/>
      <w:sz w:val="28"/>
      <w:u w:val="single"/>
    </w:rPr>
  </w:style>
  <w:style w:type="character" w:styleId="Marquedecommentaire">
    <w:name w:val="annotation reference"/>
    <w:uiPriority w:val="99"/>
    <w:semiHidden/>
    <w:rsid w:val="00CD7B95"/>
    <w:rPr>
      <w:sz w:val="16"/>
      <w:szCs w:val="16"/>
    </w:rPr>
  </w:style>
  <w:style w:type="paragraph" w:styleId="Commentaire">
    <w:name w:val="annotation text"/>
    <w:basedOn w:val="Normal"/>
    <w:link w:val="CommentaireCar"/>
    <w:uiPriority w:val="99"/>
    <w:semiHidden/>
    <w:rsid w:val="00CD7B95"/>
    <w:rPr>
      <w:szCs w:val="20"/>
    </w:rPr>
  </w:style>
  <w:style w:type="paragraph" w:styleId="Objetducommentaire">
    <w:name w:val="annotation subject"/>
    <w:basedOn w:val="Commentaire"/>
    <w:next w:val="Commentaire"/>
    <w:link w:val="ObjetducommentaireCar"/>
    <w:semiHidden/>
    <w:rsid w:val="00CD7B95"/>
    <w:rPr>
      <w:b/>
      <w:bCs/>
    </w:rPr>
  </w:style>
  <w:style w:type="paragraph" w:customStyle="1" w:styleId="NormalDarkBlue">
    <w:name w:val="Normal + Dark Blue"/>
    <w:basedOn w:val="Normal"/>
    <w:rsid w:val="00301F37"/>
    <w:rPr>
      <w:lang w:val="fr-BE"/>
    </w:rPr>
  </w:style>
  <w:style w:type="paragraph" w:styleId="Retraitcorpsdetexte">
    <w:name w:val="Body Text Indent"/>
    <w:basedOn w:val="Normal"/>
    <w:link w:val="RetraitcorpsdetexteCar"/>
    <w:semiHidden/>
    <w:rsid w:val="001A0746"/>
    <w:pPr>
      <w:ind w:left="426" w:hanging="426"/>
    </w:pPr>
    <w:rPr>
      <w:rFonts w:ascii="Times New Roman" w:hAnsi="Times New Roman"/>
      <w:color w:val="000000"/>
      <w:sz w:val="24"/>
      <w:szCs w:val="20"/>
      <w:lang w:eastAsia=""/>
    </w:rPr>
  </w:style>
  <w:style w:type="character" w:customStyle="1" w:styleId="RetraitcorpsdetexteCar">
    <w:name w:val="Retrait corps de texte Car"/>
    <w:link w:val="Retraitcorpsdetexte"/>
    <w:semiHidden/>
    <w:rsid w:val="001A0746"/>
    <w:rPr>
      <w:color w:val="000000"/>
      <w:sz w:val="24"/>
      <w:lang w:val="fr-FR"/>
    </w:rPr>
  </w:style>
  <w:style w:type="paragraph" w:styleId="Retraitcorpsdetexte2">
    <w:name w:val="Body Text Indent 2"/>
    <w:basedOn w:val="Normal"/>
    <w:link w:val="Retraitcorpsdetexte2Car"/>
    <w:semiHidden/>
    <w:rsid w:val="001A0746"/>
    <w:pPr>
      <w:ind w:left="709" w:hanging="283"/>
    </w:pPr>
    <w:rPr>
      <w:rFonts w:ascii="Times New Roman" w:hAnsi="Times New Roman"/>
      <w:color w:val="000000"/>
      <w:sz w:val="24"/>
      <w:szCs w:val="20"/>
      <w:lang w:eastAsia=""/>
    </w:rPr>
  </w:style>
  <w:style w:type="character" w:customStyle="1" w:styleId="Retraitcorpsdetexte2Car">
    <w:name w:val="Retrait corps de texte 2 Car"/>
    <w:link w:val="Retraitcorpsdetexte2"/>
    <w:semiHidden/>
    <w:rsid w:val="001A0746"/>
    <w:rPr>
      <w:color w:val="000000"/>
      <w:sz w:val="24"/>
      <w:lang w:val="fr-FR"/>
    </w:rPr>
  </w:style>
  <w:style w:type="paragraph" w:customStyle="1" w:styleId="BodyText21">
    <w:name w:val="Body Text 21"/>
    <w:basedOn w:val="Normal"/>
    <w:rsid w:val="00D73AD1"/>
    <w:rPr>
      <w:rFonts w:ascii="Times New Roman" w:hAnsi="Times New Roman"/>
      <w:i/>
      <w:color w:val="000000"/>
      <w:sz w:val="24"/>
      <w:szCs w:val="20"/>
      <w:u w:val="single"/>
      <w:lang w:eastAsia="fr-BE"/>
    </w:rPr>
  </w:style>
  <w:style w:type="paragraph" w:styleId="Explorateurdedocuments">
    <w:name w:val="Document Map"/>
    <w:basedOn w:val="Normal"/>
    <w:link w:val="ExplorateurdedocumentsCar"/>
    <w:semiHidden/>
    <w:rsid w:val="00E01B28"/>
    <w:pPr>
      <w:shd w:val="clear" w:color="auto" w:fill="000080"/>
    </w:pPr>
    <w:rPr>
      <w:rFonts w:cs="Tahoma"/>
    </w:rPr>
  </w:style>
  <w:style w:type="character" w:customStyle="1" w:styleId="AddendumChar">
    <w:name w:val="Addendum Char"/>
    <w:link w:val="Addendum"/>
    <w:rsid w:val="008F016B"/>
    <w:rPr>
      <w:rFonts w:ascii="Tahoma" w:hAnsi="Tahoma"/>
      <w:b/>
      <w:sz w:val="28"/>
      <w:szCs w:val="24"/>
      <w:u w:val="single"/>
      <w:lang w:val="en-GB" w:eastAsia="en-US"/>
    </w:rPr>
  </w:style>
  <w:style w:type="paragraph" w:customStyle="1" w:styleId="Appendix">
    <w:name w:val="Appendix"/>
    <w:basedOn w:val="Addendum"/>
    <w:link w:val="AppendixCar"/>
    <w:qFormat/>
    <w:rsid w:val="002D4880"/>
    <w:pPr>
      <w:keepNext/>
      <w:pageBreakBefore/>
      <w:numPr>
        <w:numId w:val="6"/>
      </w:numPr>
      <w:pBdr>
        <w:bottom w:val="single" w:sz="12" w:space="1" w:color="2F4F9D"/>
      </w:pBdr>
      <w:outlineLvl w:val="0"/>
    </w:pPr>
    <w:rPr>
      <w:caps/>
      <w:color w:val="2F4F9D"/>
      <w:u w:val="none"/>
      <w:lang w:val="fr-BE"/>
    </w:rPr>
  </w:style>
  <w:style w:type="character" w:customStyle="1" w:styleId="Titre2Car">
    <w:name w:val="Titre 2 Car"/>
    <w:aliases w:val="2 Car,Chapter x.x Car,H2 Car,Header 2 Car,Heading 2a Car,UNDERRUBRIK 1-2 Car,h2 Car,l2 Car"/>
    <w:link w:val="Titre2"/>
    <w:rsid w:val="00EB0204"/>
    <w:rPr>
      <w:rFonts w:ascii="Calibri" w:hAnsi="Calibri"/>
      <w:b/>
      <w:caps/>
      <w:color w:val="2F4F9D"/>
      <w:sz w:val="24"/>
      <w:lang w:eastAsia="en-US"/>
    </w:rPr>
  </w:style>
  <w:style w:type="character" w:customStyle="1" w:styleId="AppendixCar">
    <w:name w:val="Appendix Car"/>
    <w:link w:val="Appendix"/>
    <w:rsid w:val="002D4880"/>
    <w:rPr>
      <w:rFonts w:ascii="Calibri" w:hAnsi="Calibri"/>
      <w:b/>
      <w:caps/>
      <w:color w:val="2F4F9D"/>
      <w:sz w:val="28"/>
      <w:szCs w:val="24"/>
      <w:lang w:val="fr-BE" w:eastAsia="en-US"/>
    </w:rPr>
  </w:style>
  <w:style w:type="paragraph" w:customStyle="1" w:styleId="RedTxt">
    <w:name w:val="RedTxt"/>
    <w:basedOn w:val="Normal"/>
    <w:uiPriority w:val="99"/>
    <w:rsid w:val="00CD60D4"/>
    <w:pPr>
      <w:keepLines/>
      <w:widowControl w:val="0"/>
      <w:autoSpaceDE w:val="0"/>
      <w:autoSpaceDN w:val="0"/>
      <w:adjustRightInd w:val="0"/>
    </w:pPr>
    <w:rPr>
      <w:rFonts w:ascii="Arial" w:hAnsi="Arial" w:cs="Arial"/>
      <w:sz w:val="18"/>
      <w:szCs w:val="18"/>
      <w:lang w:eastAsia="fr-FR"/>
    </w:rPr>
  </w:style>
  <w:style w:type="paragraph" w:customStyle="1" w:styleId="sous-titre">
    <w:name w:val="sous-titre"/>
    <w:basedOn w:val="Titre2"/>
    <w:link w:val="sous-titreCar"/>
    <w:qFormat/>
    <w:rsid w:val="00F92FAE"/>
    <w:pPr>
      <w:numPr>
        <w:numId w:val="12"/>
      </w:numPr>
      <w:tabs>
        <w:tab w:val="left" w:pos="567"/>
        <w:tab w:val="left" w:pos="993"/>
      </w:tabs>
      <w:ind w:left="567" w:hanging="567"/>
    </w:pPr>
  </w:style>
  <w:style w:type="character" w:customStyle="1" w:styleId="PieddepageCar">
    <w:name w:val="Pied de page Car"/>
    <w:link w:val="Pieddepage"/>
    <w:uiPriority w:val="99"/>
    <w:rsid w:val="00A75AF5"/>
    <w:rPr>
      <w:rFonts w:ascii="Calibri" w:hAnsi="Calibri"/>
      <w:sz w:val="22"/>
      <w:szCs w:val="24"/>
      <w:lang w:val="en-GB" w:eastAsia="en-US"/>
    </w:rPr>
  </w:style>
  <w:style w:type="character" w:customStyle="1" w:styleId="sous-titreCar">
    <w:name w:val="sous-titre Car"/>
    <w:link w:val="sous-titre"/>
    <w:rsid w:val="00F92FAE"/>
    <w:rPr>
      <w:rFonts w:ascii="Ebrima" w:hAnsi="Ebrima"/>
      <w:b/>
      <w:caps/>
      <w:sz w:val="24"/>
      <w:lang w:eastAsia="en-US"/>
    </w:rPr>
  </w:style>
  <w:style w:type="character" w:customStyle="1" w:styleId="apple-converted-space">
    <w:name w:val="apple-converted-space"/>
    <w:rsid w:val="00803597"/>
  </w:style>
  <w:style w:type="character" w:customStyle="1" w:styleId="CommentaireCar">
    <w:name w:val="Commentaire Car"/>
    <w:link w:val="Commentaire"/>
    <w:uiPriority w:val="99"/>
    <w:semiHidden/>
    <w:rsid w:val="0045706F"/>
    <w:rPr>
      <w:rFonts w:ascii="Calibri" w:hAnsi="Calibri"/>
      <w:sz w:val="22"/>
      <w:lang w:val="fr-FR" w:eastAsia="en-US"/>
    </w:rPr>
  </w:style>
  <w:style w:type="table" w:customStyle="1" w:styleId="Grilledutableau1">
    <w:name w:val="Grille du tableau1"/>
    <w:basedOn w:val="TableauNormal"/>
    <w:next w:val="Grilledutableau"/>
    <w:uiPriority w:val="39"/>
    <w:rsid w:val="006A6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B0204"/>
    <w:rPr>
      <w:rFonts w:ascii="Calibri" w:hAnsi="Calibri"/>
      <w:b/>
      <w:caps/>
      <w:color w:val="2F4F9D"/>
      <w:kern w:val="28"/>
      <w:sz w:val="28"/>
      <w:szCs w:val="32"/>
      <w:lang w:eastAsia="en-US"/>
    </w:rPr>
  </w:style>
  <w:style w:type="character" w:customStyle="1" w:styleId="Titre3Car">
    <w:name w:val="Titre 3 Car"/>
    <w:link w:val="Titre3"/>
    <w:rsid w:val="00EB0204"/>
    <w:rPr>
      <w:rFonts w:ascii="Calibri" w:hAnsi="Calibri"/>
      <w:b/>
      <w:color w:val="2F4F9D"/>
      <w:sz w:val="24"/>
      <w:lang w:eastAsia="en-US"/>
    </w:rPr>
  </w:style>
  <w:style w:type="character" w:customStyle="1" w:styleId="Titre4Car">
    <w:name w:val="Titre 4 Car"/>
    <w:link w:val="Titre4"/>
    <w:rsid w:val="00DF0181"/>
    <w:rPr>
      <w:rFonts w:ascii="Ebrima" w:hAnsi="Ebrima"/>
      <w:b/>
      <w:color w:val="000080"/>
      <w:sz w:val="22"/>
      <w:lang w:val="nl-BE" w:eastAsia="en-US"/>
    </w:rPr>
  </w:style>
  <w:style w:type="character" w:customStyle="1" w:styleId="En-tteCar">
    <w:name w:val="En-tête Car"/>
    <w:link w:val="En-tte"/>
    <w:rsid w:val="00DF0181"/>
    <w:rPr>
      <w:rFonts w:ascii="Ebrima" w:hAnsi="Ebrima"/>
      <w:sz w:val="18"/>
      <w:lang w:val="nl-BE" w:eastAsia="en-US"/>
    </w:rPr>
  </w:style>
  <w:style w:type="table" w:customStyle="1" w:styleId="Grilledutableau2">
    <w:name w:val="Grille du tableau2"/>
    <w:basedOn w:val="TableauNormal"/>
    <w:next w:val="Grilledutableau"/>
    <w:uiPriority w:val="39"/>
    <w:rsid w:val="00DF0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link w:val="Textedebulles"/>
    <w:semiHidden/>
    <w:rsid w:val="00DF0181"/>
    <w:rPr>
      <w:rFonts w:ascii="Ebrima" w:hAnsi="Ebrima" w:cs="Tahoma"/>
      <w:sz w:val="16"/>
      <w:szCs w:val="16"/>
      <w:lang w:eastAsia="en-US"/>
    </w:rPr>
  </w:style>
  <w:style w:type="character" w:customStyle="1" w:styleId="TitreCar">
    <w:name w:val="Titre Car"/>
    <w:link w:val="Titre"/>
    <w:rsid w:val="00DF0181"/>
    <w:rPr>
      <w:rFonts w:ascii="Ebrima" w:hAnsi="Ebrima" w:cs="Arial"/>
      <w:b/>
      <w:bCs/>
      <w:kern w:val="28"/>
      <w:sz w:val="32"/>
      <w:szCs w:val="32"/>
      <w:lang w:eastAsia="en-US"/>
    </w:rPr>
  </w:style>
  <w:style w:type="character" w:customStyle="1" w:styleId="NotedebasdepageCar">
    <w:name w:val="Note de bas de page Car"/>
    <w:link w:val="Notedebasdepage"/>
    <w:semiHidden/>
    <w:rsid w:val="00DF0181"/>
    <w:rPr>
      <w:rFonts w:ascii="Arial" w:hAnsi="Arial"/>
      <w:i/>
      <w:sz w:val="18"/>
      <w:lang w:val="nl-BE" w:eastAsia="nl-NL"/>
    </w:rPr>
  </w:style>
  <w:style w:type="character" w:customStyle="1" w:styleId="ObjetducommentaireCar">
    <w:name w:val="Objet du commentaire Car"/>
    <w:link w:val="Objetducommentaire"/>
    <w:semiHidden/>
    <w:rsid w:val="00DF0181"/>
    <w:rPr>
      <w:rFonts w:ascii="Ebrima" w:hAnsi="Ebrima"/>
      <w:b/>
      <w:bCs/>
      <w:lang w:eastAsia="en-US"/>
    </w:rPr>
  </w:style>
  <w:style w:type="character" w:customStyle="1" w:styleId="ExplorateurdedocumentsCar">
    <w:name w:val="Explorateur de documents Car"/>
    <w:link w:val="Explorateurdedocuments"/>
    <w:semiHidden/>
    <w:rsid w:val="00DF0181"/>
    <w:rPr>
      <w:rFonts w:ascii="Ebrima" w:hAnsi="Ebrima" w:cs="Tahoma"/>
      <w:szCs w:val="24"/>
      <w:shd w:val="clear" w:color="auto" w:fill="000080"/>
      <w:lang w:eastAsia="en-US"/>
    </w:rPr>
  </w:style>
  <w:style w:type="table" w:customStyle="1" w:styleId="Grilledutableau11">
    <w:name w:val="Grille du tableau11"/>
    <w:basedOn w:val="TableauNormal"/>
    <w:next w:val="Grilledutableau"/>
    <w:uiPriority w:val="39"/>
    <w:rsid w:val="00DF01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DF0181"/>
    <w:rPr>
      <w:color w:val="954F72"/>
      <w:u w:val="single"/>
    </w:rPr>
  </w:style>
  <w:style w:type="paragraph" w:styleId="Sansinterligne">
    <w:name w:val="No Spacing"/>
    <w:uiPriority w:val="1"/>
    <w:qFormat/>
    <w:rsid w:val="002D4880"/>
    <w:pPr>
      <w:numPr>
        <w:numId w:val="28"/>
      </w:numPr>
      <w:spacing w:before="480" w:after="120"/>
      <w:ind w:left="0" w:hanging="11"/>
      <w:jc w:val="both"/>
    </w:pPr>
    <w:rPr>
      <w:rFonts w:ascii="Calibri" w:hAnsi="Calibri"/>
      <w:b/>
      <w:bCs/>
      <w:caps/>
      <w:color w:val="2F4F9D"/>
      <w:sz w:val="24"/>
      <w:szCs w:val="28"/>
      <w:lang w:eastAsia="en-US"/>
    </w:rPr>
  </w:style>
  <w:style w:type="paragraph" w:styleId="Paragraphedeliste">
    <w:name w:val="List Paragraph"/>
    <w:basedOn w:val="Normal"/>
    <w:uiPriority w:val="34"/>
    <w:qFormat/>
    <w:rsid w:val="002D4880"/>
    <w:pPr>
      <w:numPr>
        <w:ilvl w:val="3"/>
        <w:numId w:val="22"/>
      </w:numPr>
      <w:ind w:left="567" w:firstLine="426"/>
      <w:contextualSpacing/>
    </w:pPr>
    <w:rPr>
      <w:b/>
      <w:bCs/>
      <w:color w:val="2F4F9D"/>
      <w:sz w:val="24"/>
      <w:szCs w:val="28"/>
    </w:rPr>
  </w:style>
  <w:style w:type="paragraph" w:customStyle="1" w:styleId="Standard">
    <w:name w:val="Standard"/>
    <w:rsid w:val="00C800DF"/>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C800DF"/>
    <w:pPr>
      <w:spacing w:after="120"/>
    </w:pPr>
  </w:style>
  <w:style w:type="paragraph" w:customStyle="1" w:styleId="fcase1ertab">
    <w:name w:val="f_case_1ertab"/>
    <w:basedOn w:val="Normal"/>
    <w:rsid w:val="005A65B0"/>
    <w:pPr>
      <w:tabs>
        <w:tab w:val="left" w:pos="426"/>
      </w:tabs>
      <w:suppressAutoHyphens/>
      <w:ind w:left="709" w:hanging="709"/>
    </w:pPr>
    <w:rPr>
      <w:rFonts w:ascii="Arial" w:hAnsi="Arial" w:cs="Univers"/>
      <w:sz w:val="20"/>
      <w:szCs w:val="20"/>
      <w:lang w:eastAsia="zh-CN"/>
    </w:rPr>
  </w:style>
  <w:style w:type="paragraph" w:styleId="NormalWeb0">
    <w:name w:val="Normal (Web)"/>
    <w:basedOn w:val="Normal"/>
    <w:uiPriority w:val="99"/>
    <w:unhideWhenUsed/>
    <w:rsid w:val="0051130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1388">
      <w:bodyDiv w:val="1"/>
      <w:marLeft w:val="0"/>
      <w:marRight w:val="0"/>
      <w:marTop w:val="0"/>
      <w:marBottom w:val="0"/>
      <w:divBdr>
        <w:top w:val="none" w:sz="0" w:space="0" w:color="auto"/>
        <w:left w:val="none" w:sz="0" w:space="0" w:color="auto"/>
        <w:bottom w:val="none" w:sz="0" w:space="0" w:color="auto"/>
        <w:right w:val="none" w:sz="0" w:space="0" w:color="auto"/>
      </w:divBdr>
    </w:div>
    <w:div w:id="100998538">
      <w:bodyDiv w:val="1"/>
      <w:marLeft w:val="0"/>
      <w:marRight w:val="0"/>
      <w:marTop w:val="0"/>
      <w:marBottom w:val="0"/>
      <w:divBdr>
        <w:top w:val="none" w:sz="0" w:space="0" w:color="auto"/>
        <w:left w:val="none" w:sz="0" w:space="0" w:color="auto"/>
        <w:bottom w:val="none" w:sz="0" w:space="0" w:color="auto"/>
        <w:right w:val="none" w:sz="0" w:space="0" w:color="auto"/>
      </w:divBdr>
    </w:div>
    <w:div w:id="350112027">
      <w:bodyDiv w:val="1"/>
      <w:marLeft w:val="0"/>
      <w:marRight w:val="0"/>
      <w:marTop w:val="0"/>
      <w:marBottom w:val="0"/>
      <w:divBdr>
        <w:top w:val="none" w:sz="0" w:space="0" w:color="auto"/>
        <w:left w:val="none" w:sz="0" w:space="0" w:color="auto"/>
        <w:bottom w:val="none" w:sz="0" w:space="0" w:color="auto"/>
        <w:right w:val="none" w:sz="0" w:space="0" w:color="auto"/>
      </w:divBdr>
    </w:div>
    <w:div w:id="565993106">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653291183">
      <w:bodyDiv w:val="1"/>
      <w:marLeft w:val="0"/>
      <w:marRight w:val="0"/>
      <w:marTop w:val="0"/>
      <w:marBottom w:val="0"/>
      <w:divBdr>
        <w:top w:val="none" w:sz="0" w:space="0" w:color="auto"/>
        <w:left w:val="none" w:sz="0" w:space="0" w:color="auto"/>
        <w:bottom w:val="none" w:sz="0" w:space="0" w:color="auto"/>
        <w:right w:val="none" w:sz="0" w:space="0" w:color="auto"/>
      </w:divBdr>
    </w:div>
    <w:div w:id="662004845">
      <w:bodyDiv w:val="1"/>
      <w:marLeft w:val="0"/>
      <w:marRight w:val="0"/>
      <w:marTop w:val="0"/>
      <w:marBottom w:val="0"/>
      <w:divBdr>
        <w:top w:val="none" w:sz="0" w:space="0" w:color="auto"/>
        <w:left w:val="none" w:sz="0" w:space="0" w:color="auto"/>
        <w:bottom w:val="none" w:sz="0" w:space="0" w:color="auto"/>
        <w:right w:val="none" w:sz="0" w:space="0" w:color="auto"/>
      </w:divBdr>
    </w:div>
    <w:div w:id="928388694">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188518500">
      <w:bodyDiv w:val="1"/>
      <w:marLeft w:val="0"/>
      <w:marRight w:val="0"/>
      <w:marTop w:val="0"/>
      <w:marBottom w:val="0"/>
      <w:divBdr>
        <w:top w:val="none" w:sz="0" w:space="0" w:color="auto"/>
        <w:left w:val="none" w:sz="0" w:space="0" w:color="auto"/>
        <w:bottom w:val="none" w:sz="0" w:space="0" w:color="auto"/>
        <w:right w:val="none" w:sz="0" w:space="0" w:color="auto"/>
      </w:divBdr>
    </w:div>
    <w:div w:id="1193573755">
      <w:bodyDiv w:val="1"/>
      <w:marLeft w:val="0"/>
      <w:marRight w:val="0"/>
      <w:marTop w:val="0"/>
      <w:marBottom w:val="0"/>
      <w:divBdr>
        <w:top w:val="none" w:sz="0" w:space="0" w:color="auto"/>
        <w:left w:val="none" w:sz="0" w:space="0" w:color="auto"/>
        <w:bottom w:val="none" w:sz="0" w:space="0" w:color="auto"/>
        <w:right w:val="none" w:sz="0" w:space="0" w:color="auto"/>
      </w:divBdr>
    </w:div>
    <w:div w:id="1295067102">
      <w:bodyDiv w:val="1"/>
      <w:marLeft w:val="0"/>
      <w:marRight w:val="0"/>
      <w:marTop w:val="0"/>
      <w:marBottom w:val="0"/>
      <w:divBdr>
        <w:top w:val="none" w:sz="0" w:space="0" w:color="auto"/>
        <w:left w:val="none" w:sz="0" w:space="0" w:color="auto"/>
        <w:bottom w:val="none" w:sz="0" w:space="0" w:color="auto"/>
        <w:right w:val="none" w:sz="0" w:space="0" w:color="auto"/>
      </w:divBdr>
    </w:div>
    <w:div w:id="1326468735">
      <w:bodyDiv w:val="1"/>
      <w:marLeft w:val="0"/>
      <w:marRight w:val="0"/>
      <w:marTop w:val="0"/>
      <w:marBottom w:val="0"/>
      <w:divBdr>
        <w:top w:val="none" w:sz="0" w:space="0" w:color="auto"/>
        <w:left w:val="none" w:sz="0" w:space="0" w:color="auto"/>
        <w:bottom w:val="none" w:sz="0" w:space="0" w:color="auto"/>
        <w:right w:val="none" w:sz="0" w:space="0" w:color="auto"/>
      </w:divBdr>
    </w:div>
    <w:div w:id="1438215124">
      <w:bodyDiv w:val="1"/>
      <w:marLeft w:val="0"/>
      <w:marRight w:val="0"/>
      <w:marTop w:val="0"/>
      <w:marBottom w:val="0"/>
      <w:divBdr>
        <w:top w:val="none" w:sz="0" w:space="0" w:color="auto"/>
        <w:left w:val="none" w:sz="0" w:space="0" w:color="auto"/>
        <w:bottom w:val="none" w:sz="0" w:space="0" w:color="auto"/>
        <w:right w:val="none" w:sz="0" w:space="0" w:color="auto"/>
      </w:divBdr>
    </w:div>
    <w:div w:id="1445463330">
      <w:bodyDiv w:val="1"/>
      <w:marLeft w:val="0"/>
      <w:marRight w:val="0"/>
      <w:marTop w:val="0"/>
      <w:marBottom w:val="0"/>
      <w:divBdr>
        <w:top w:val="none" w:sz="0" w:space="0" w:color="auto"/>
        <w:left w:val="none" w:sz="0" w:space="0" w:color="auto"/>
        <w:bottom w:val="none" w:sz="0" w:space="0" w:color="auto"/>
        <w:right w:val="none" w:sz="0" w:space="0" w:color="auto"/>
      </w:divBdr>
    </w:div>
    <w:div w:id="1472988228">
      <w:bodyDiv w:val="1"/>
      <w:marLeft w:val="0"/>
      <w:marRight w:val="0"/>
      <w:marTop w:val="0"/>
      <w:marBottom w:val="0"/>
      <w:divBdr>
        <w:top w:val="none" w:sz="0" w:space="0" w:color="auto"/>
        <w:left w:val="none" w:sz="0" w:space="0" w:color="auto"/>
        <w:bottom w:val="none" w:sz="0" w:space="0" w:color="auto"/>
        <w:right w:val="none" w:sz="0" w:space="0" w:color="auto"/>
      </w:divBdr>
    </w:div>
    <w:div w:id="1508713345">
      <w:bodyDiv w:val="1"/>
      <w:marLeft w:val="0"/>
      <w:marRight w:val="0"/>
      <w:marTop w:val="0"/>
      <w:marBottom w:val="0"/>
      <w:divBdr>
        <w:top w:val="none" w:sz="0" w:space="0" w:color="auto"/>
        <w:left w:val="none" w:sz="0" w:space="0" w:color="auto"/>
        <w:bottom w:val="none" w:sz="0" w:space="0" w:color="auto"/>
        <w:right w:val="none" w:sz="0" w:space="0" w:color="auto"/>
      </w:divBdr>
    </w:div>
    <w:div w:id="1536965338">
      <w:bodyDiv w:val="1"/>
      <w:marLeft w:val="0"/>
      <w:marRight w:val="0"/>
      <w:marTop w:val="0"/>
      <w:marBottom w:val="0"/>
      <w:divBdr>
        <w:top w:val="none" w:sz="0" w:space="0" w:color="auto"/>
        <w:left w:val="none" w:sz="0" w:space="0" w:color="auto"/>
        <w:bottom w:val="none" w:sz="0" w:space="0" w:color="auto"/>
        <w:right w:val="none" w:sz="0" w:space="0" w:color="auto"/>
      </w:divBdr>
    </w:div>
    <w:div w:id="1591620814">
      <w:bodyDiv w:val="1"/>
      <w:marLeft w:val="0"/>
      <w:marRight w:val="0"/>
      <w:marTop w:val="0"/>
      <w:marBottom w:val="0"/>
      <w:divBdr>
        <w:top w:val="none" w:sz="0" w:space="0" w:color="auto"/>
        <w:left w:val="none" w:sz="0" w:space="0" w:color="auto"/>
        <w:bottom w:val="none" w:sz="0" w:space="0" w:color="auto"/>
        <w:right w:val="none" w:sz="0" w:space="0" w:color="auto"/>
      </w:divBdr>
    </w:div>
    <w:div w:id="1643852091">
      <w:bodyDiv w:val="1"/>
      <w:marLeft w:val="0"/>
      <w:marRight w:val="0"/>
      <w:marTop w:val="0"/>
      <w:marBottom w:val="0"/>
      <w:divBdr>
        <w:top w:val="none" w:sz="0" w:space="0" w:color="auto"/>
        <w:left w:val="none" w:sz="0" w:space="0" w:color="auto"/>
        <w:bottom w:val="none" w:sz="0" w:space="0" w:color="auto"/>
        <w:right w:val="none" w:sz="0" w:space="0" w:color="auto"/>
      </w:divBdr>
    </w:div>
    <w:div w:id="1731345334">
      <w:bodyDiv w:val="1"/>
      <w:marLeft w:val="0"/>
      <w:marRight w:val="0"/>
      <w:marTop w:val="0"/>
      <w:marBottom w:val="0"/>
      <w:divBdr>
        <w:top w:val="none" w:sz="0" w:space="0" w:color="auto"/>
        <w:left w:val="none" w:sz="0" w:space="0" w:color="auto"/>
        <w:bottom w:val="none" w:sz="0" w:space="0" w:color="auto"/>
        <w:right w:val="none" w:sz="0" w:space="0" w:color="auto"/>
      </w:divBdr>
      <w:divsChild>
        <w:div w:id="13924930">
          <w:marLeft w:val="0"/>
          <w:marRight w:val="0"/>
          <w:marTop w:val="0"/>
          <w:marBottom w:val="0"/>
          <w:divBdr>
            <w:top w:val="none" w:sz="0" w:space="0" w:color="auto"/>
            <w:left w:val="none" w:sz="0" w:space="0" w:color="auto"/>
            <w:bottom w:val="none" w:sz="0" w:space="0" w:color="auto"/>
            <w:right w:val="none" w:sz="0" w:space="0" w:color="auto"/>
          </w:divBdr>
        </w:div>
        <w:div w:id="473449486">
          <w:marLeft w:val="0"/>
          <w:marRight w:val="0"/>
          <w:marTop w:val="0"/>
          <w:marBottom w:val="0"/>
          <w:divBdr>
            <w:top w:val="none" w:sz="0" w:space="0" w:color="auto"/>
            <w:left w:val="none" w:sz="0" w:space="0" w:color="auto"/>
            <w:bottom w:val="none" w:sz="0" w:space="0" w:color="auto"/>
            <w:right w:val="none" w:sz="0" w:space="0" w:color="auto"/>
          </w:divBdr>
        </w:div>
        <w:div w:id="1539123974">
          <w:marLeft w:val="0"/>
          <w:marRight w:val="0"/>
          <w:marTop w:val="0"/>
          <w:marBottom w:val="0"/>
          <w:divBdr>
            <w:top w:val="none" w:sz="0" w:space="0" w:color="auto"/>
            <w:left w:val="none" w:sz="0" w:space="0" w:color="auto"/>
            <w:bottom w:val="none" w:sz="0" w:space="0" w:color="auto"/>
            <w:right w:val="none" w:sz="0" w:space="0" w:color="auto"/>
          </w:divBdr>
        </w:div>
        <w:div w:id="2080977800">
          <w:marLeft w:val="0"/>
          <w:marRight w:val="0"/>
          <w:marTop w:val="0"/>
          <w:marBottom w:val="0"/>
          <w:divBdr>
            <w:top w:val="none" w:sz="0" w:space="0" w:color="auto"/>
            <w:left w:val="none" w:sz="0" w:space="0" w:color="auto"/>
            <w:bottom w:val="none" w:sz="0" w:space="0" w:color="auto"/>
            <w:right w:val="none" w:sz="0" w:space="0" w:color="auto"/>
          </w:divBdr>
        </w:div>
      </w:divsChild>
    </w:div>
    <w:div w:id="1775788687">
      <w:bodyDiv w:val="1"/>
      <w:marLeft w:val="0"/>
      <w:marRight w:val="0"/>
      <w:marTop w:val="0"/>
      <w:marBottom w:val="0"/>
      <w:divBdr>
        <w:top w:val="none" w:sz="0" w:space="0" w:color="auto"/>
        <w:left w:val="none" w:sz="0" w:space="0" w:color="auto"/>
        <w:bottom w:val="none" w:sz="0" w:space="0" w:color="auto"/>
        <w:right w:val="none" w:sz="0" w:space="0" w:color="auto"/>
      </w:divBdr>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1849368949">
      <w:bodyDiv w:val="1"/>
      <w:marLeft w:val="0"/>
      <w:marRight w:val="0"/>
      <w:marTop w:val="0"/>
      <w:marBottom w:val="0"/>
      <w:divBdr>
        <w:top w:val="none" w:sz="0" w:space="0" w:color="auto"/>
        <w:left w:val="none" w:sz="0" w:space="0" w:color="auto"/>
        <w:bottom w:val="none" w:sz="0" w:space="0" w:color="auto"/>
        <w:right w:val="none" w:sz="0" w:space="0" w:color="auto"/>
      </w:divBdr>
    </w:div>
    <w:div w:id="1945070640">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A7D5C-8A82-4C53-8FBA-747E3638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2975</Words>
  <Characters>16367</Characters>
  <Application>Microsoft Office Word</Application>
  <DocSecurity>0</DocSecurity>
  <Lines>136</Lines>
  <Paragraphs>38</Paragraphs>
  <ScaleCrop>false</ScaleCrop>
  <HeadingPairs>
    <vt:vector size="4" baseType="variant">
      <vt:variant>
        <vt:lpstr>Titre</vt:lpstr>
      </vt:variant>
      <vt:variant>
        <vt:i4>1</vt:i4>
      </vt:variant>
      <vt:variant>
        <vt:lpstr>Titres</vt:lpstr>
      </vt:variant>
      <vt:variant>
        <vt:i4>43</vt:i4>
      </vt:variant>
    </vt:vector>
  </HeadingPairs>
  <TitlesOfParts>
    <vt:vector size="44" baseType="lpstr">
      <vt:lpstr/>
      <vt:lpstr>Préambule</vt:lpstr>
      <vt:lpstr>Dispositions générales</vt:lpstr>
      <vt:lpstr>    Représentant de l’acheteur</vt:lpstr>
      <vt:lpstr>    Objet et décomposition de l'accord-cadre </vt:lpstr>
      <vt:lpstr>    Durée</vt:lpstr>
      <vt:lpstr>    Accord-cadre</vt:lpstr>
      <vt:lpstr>        Type d’accord-cadre</vt:lpstr>
      <vt:lpstr>    Documents contractuels </vt:lpstr>
      <vt:lpstr>    Assurances</vt:lpstr>
      <vt:lpstr>    Intervenants </vt:lpstr>
      <vt:lpstr>        Sous-traitance </vt:lpstr>
      <vt:lpstr>        Groupement d’opérateurs économiques</vt:lpstr>
      <vt:lpstr>Prix et modalités de paiement</vt:lpstr>
      <vt:lpstr>    Caractéristiques des prix de l'accord-cadre</vt:lpstr>
      <vt:lpstr>        Modalités de fixation des prix </vt:lpstr>
      <vt:lpstr>        Contenu du prix</vt:lpstr>
      <vt:lpstr>        Variation des prix</vt:lpstr>
      <vt:lpstr>    Avance</vt:lpstr>
      <vt:lpstr>    Retenue de garantie</vt:lpstr>
      <vt:lpstr>    Modalités de paiement</vt:lpstr>
      <vt:lpstr>        Délai de paiement </vt:lpstr>
      <vt:lpstr>        Modalités de règlement des comptes</vt:lpstr>
      <vt:lpstr>        Facturation</vt:lpstr>
      <vt:lpstr>Modalités d’exécution</vt:lpstr>
      <vt:lpstr>    Modalités de communication entre les parties</vt:lpstr>
      <vt:lpstr>    Exécution des prestations</vt:lpstr>
      <vt:lpstr>    Développement durable</vt:lpstr>
      <vt:lpstr>    Prestations similaires et modifications </vt:lpstr>
      <vt:lpstr>    Propriété intellectuelle </vt:lpstr>
      <vt:lpstr>        Régime des droits de propriété intellectuelle</vt:lpstr>
      <vt:lpstr>Constatation de l’exécution, garantie et maintenance </vt:lpstr>
      <vt:lpstr>    Admission</vt:lpstr>
      <vt:lpstr>    Délai de garantie</vt:lpstr>
      <vt:lpstr>Clauses diverses</vt:lpstr>
      <vt:lpstr>    Confidentialité – Protection des données personnelles – mesures de sécurité </vt:lpstr>
      <vt:lpstr>Défaillance dans l’exécution</vt:lpstr>
      <vt:lpstr>    Pénalités et primes</vt:lpstr>
      <vt:lpstr>    Mesures coercitives</vt:lpstr>
      <vt:lpstr>    Cas de résiliation </vt:lpstr>
      <vt:lpstr>    Liquidation</vt:lpstr>
      <vt:lpstr>    Litiges et différends </vt:lpstr>
      <vt:lpstr>Dérogations au CCAG</vt:lpstr>
      <vt:lpstr>Contrat de Protection des données personnelles</vt:lpstr>
    </vt:vector>
  </TitlesOfParts>
  <Company/>
  <LinksUpToDate>false</LinksUpToDate>
  <CharactersWithSpaces>19304</CharactersWithSpaces>
  <SharedDoc>false</SharedDoc>
  <HLinks>
    <vt:vector size="258" baseType="variant">
      <vt:variant>
        <vt:i4>1441844</vt:i4>
      </vt:variant>
      <vt:variant>
        <vt:i4>254</vt:i4>
      </vt:variant>
      <vt:variant>
        <vt:i4>0</vt:i4>
      </vt:variant>
      <vt:variant>
        <vt:i4>5</vt:i4>
      </vt:variant>
      <vt:variant>
        <vt:lpwstr/>
      </vt:variant>
      <vt:variant>
        <vt:lpwstr>_Toc256000042</vt:lpwstr>
      </vt:variant>
      <vt:variant>
        <vt:i4>1441844</vt:i4>
      </vt:variant>
      <vt:variant>
        <vt:i4>248</vt:i4>
      </vt:variant>
      <vt:variant>
        <vt:i4>0</vt:i4>
      </vt:variant>
      <vt:variant>
        <vt:i4>5</vt:i4>
      </vt:variant>
      <vt:variant>
        <vt:lpwstr/>
      </vt:variant>
      <vt:variant>
        <vt:lpwstr>_Toc256000041</vt:lpwstr>
      </vt:variant>
      <vt:variant>
        <vt:i4>1441844</vt:i4>
      </vt:variant>
      <vt:variant>
        <vt:i4>242</vt:i4>
      </vt:variant>
      <vt:variant>
        <vt:i4>0</vt:i4>
      </vt:variant>
      <vt:variant>
        <vt:i4>5</vt:i4>
      </vt:variant>
      <vt:variant>
        <vt:lpwstr/>
      </vt:variant>
      <vt:variant>
        <vt:lpwstr>_Toc256000040</vt:lpwstr>
      </vt:variant>
      <vt:variant>
        <vt:i4>1114164</vt:i4>
      </vt:variant>
      <vt:variant>
        <vt:i4>236</vt:i4>
      </vt:variant>
      <vt:variant>
        <vt:i4>0</vt:i4>
      </vt:variant>
      <vt:variant>
        <vt:i4>5</vt:i4>
      </vt:variant>
      <vt:variant>
        <vt:lpwstr/>
      </vt:variant>
      <vt:variant>
        <vt:lpwstr>_Toc256000039</vt:lpwstr>
      </vt:variant>
      <vt:variant>
        <vt:i4>1114164</vt:i4>
      </vt:variant>
      <vt:variant>
        <vt:i4>230</vt:i4>
      </vt:variant>
      <vt:variant>
        <vt:i4>0</vt:i4>
      </vt:variant>
      <vt:variant>
        <vt:i4>5</vt:i4>
      </vt:variant>
      <vt:variant>
        <vt:lpwstr/>
      </vt:variant>
      <vt:variant>
        <vt:lpwstr>_Toc256000038</vt:lpwstr>
      </vt:variant>
      <vt:variant>
        <vt:i4>1114164</vt:i4>
      </vt:variant>
      <vt:variant>
        <vt:i4>224</vt:i4>
      </vt:variant>
      <vt:variant>
        <vt:i4>0</vt:i4>
      </vt:variant>
      <vt:variant>
        <vt:i4>5</vt:i4>
      </vt:variant>
      <vt:variant>
        <vt:lpwstr/>
      </vt:variant>
      <vt:variant>
        <vt:lpwstr>_Toc256000037</vt:lpwstr>
      </vt:variant>
      <vt:variant>
        <vt:i4>1114164</vt:i4>
      </vt:variant>
      <vt:variant>
        <vt:i4>218</vt:i4>
      </vt:variant>
      <vt:variant>
        <vt:i4>0</vt:i4>
      </vt:variant>
      <vt:variant>
        <vt:i4>5</vt:i4>
      </vt:variant>
      <vt:variant>
        <vt:lpwstr/>
      </vt:variant>
      <vt:variant>
        <vt:lpwstr>_Toc256000036</vt:lpwstr>
      </vt:variant>
      <vt:variant>
        <vt:i4>1114164</vt:i4>
      </vt:variant>
      <vt:variant>
        <vt:i4>212</vt:i4>
      </vt:variant>
      <vt:variant>
        <vt:i4>0</vt:i4>
      </vt:variant>
      <vt:variant>
        <vt:i4>5</vt:i4>
      </vt:variant>
      <vt:variant>
        <vt:lpwstr/>
      </vt:variant>
      <vt:variant>
        <vt:lpwstr>_Toc256000035</vt:lpwstr>
      </vt:variant>
      <vt:variant>
        <vt:i4>1114164</vt:i4>
      </vt:variant>
      <vt:variant>
        <vt:i4>206</vt:i4>
      </vt:variant>
      <vt:variant>
        <vt:i4>0</vt:i4>
      </vt:variant>
      <vt:variant>
        <vt:i4>5</vt:i4>
      </vt:variant>
      <vt:variant>
        <vt:lpwstr/>
      </vt:variant>
      <vt:variant>
        <vt:lpwstr>_Toc256000034</vt:lpwstr>
      </vt:variant>
      <vt:variant>
        <vt:i4>1114164</vt:i4>
      </vt:variant>
      <vt:variant>
        <vt:i4>200</vt:i4>
      </vt:variant>
      <vt:variant>
        <vt:i4>0</vt:i4>
      </vt:variant>
      <vt:variant>
        <vt:i4>5</vt:i4>
      </vt:variant>
      <vt:variant>
        <vt:lpwstr/>
      </vt:variant>
      <vt:variant>
        <vt:lpwstr>_Toc256000033</vt:lpwstr>
      </vt:variant>
      <vt:variant>
        <vt:i4>1114164</vt:i4>
      </vt:variant>
      <vt:variant>
        <vt:i4>194</vt:i4>
      </vt:variant>
      <vt:variant>
        <vt:i4>0</vt:i4>
      </vt:variant>
      <vt:variant>
        <vt:i4>5</vt:i4>
      </vt:variant>
      <vt:variant>
        <vt:lpwstr/>
      </vt:variant>
      <vt:variant>
        <vt:lpwstr>_Toc256000032</vt:lpwstr>
      </vt:variant>
      <vt:variant>
        <vt:i4>1114164</vt:i4>
      </vt:variant>
      <vt:variant>
        <vt:i4>188</vt:i4>
      </vt:variant>
      <vt:variant>
        <vt:i4>0</vt:i4>
      </vt:variant>
      <vt:variant>
        <vt:i4>5</vt:i4>
      </vt:variant>
      <vt:variant>
        <vt:lpwstr/>
      </vt:variant>
      <vt:variant>
        <vt:lpwstr>_Toc256000031</vt:lpwstr>
      </vt:variant>
      <vt:variant>
        <vt:i4>1114164</vt:i4>
      </vt:variant>
      <vt:variant>
        <vt:i4>182</vt:i4>
      </vt:variant>
      <vt:variant>
        <vt:i4>0</vt:i4>
      </vt:variant>
      <vt:variant>
        <vt:i4>5</vt:i4>
      </vt:variant>
      <vt:variant>
        <vt:lpwstr/>
      </vt:variant>
      <vt:variant>
        <vt:lpwstr>_Toc256000030</vt:lpwstr>
      </vt:variant>
      <vt:variant>
        <vt:i4>1048628</vt:i4>
      </vt:variant>
      <vt:variant>
        <vt:i4>176</vt:i4>
      </vt:variant>
      <vt:variant>
        <vt:i4>0</vt:i4>
      </vt:variant>
      <vt:variant>
        <vt:i4>5</vt:i4>
      </vt:variant>
      <vt:variant>
        <vt:lpwstr/>
      </vt:variant>
      <vt:variant>
        <vt:lpwstr>_Toc256000029</vt:lpwstr>
      </vt:variant>
      <vt:variant>
        <vt:i4>1048628</vt:i4>
      </vt:variant>
      <vt:variant>
        <vt:i4>170</vt:i4>
      </vt:variant>
      <vt:variant>
        <vt:i4>0</vt:i4>
      </vt:variant>
      <vt:variant>
        <vt:i4>5</vt:i4>
      </vt:variant>
      <vt:variant>
        <vt:lpwstr/>
      </vt:variant>
      <vt:variant>
        <vt:lpwstr>_Toc256000028</vt:lpwstr>
      </vt:variant>
      <vt:variant>
        <vt:i4>1048628</vt:i4>
      </vt:variant>
      <vt:variant>
        <vt:i4>164</vt:i4>
      </vt:variant>
      <vt:variant>
        <vt:i4>0</vt:i4>
      </vt:variant>
      <vt:variant>
        <vt:i4>5</vt:i4>
      </vt:variant>
      <vt:variant>
        <vt:lpwstr/>
      </vt:variant>
      <vt:variant>
        <vt:lpwstr>_Toc256000027</vt:lpwstr>
      </vt:variant>
      <vt:variant>
        <vt:i4>1048628</vt:i4>
      </vt:variant>
      <vt:variant>
        <vt:i4>158</vt:i4>
      </vt:variant>
      <vt:variant>
        <vt:i4>0</vt:i4>
      </vt:variant>
      <vt:variant>
        <vt:i4>5</vt:i4>
      </vt:variant>
      <vt:variant>
        <vt:lpwstr/>
      </vt:variant>
      <vt:variant>
        <vt:lpwstr>_Toc256000026</vt:lpwstr>
      </vt:variant>
      <vt:variant>
        <vt:i4>1048628</vt:i4>
      </vt:variant>
      <vt:variant>
        <vt:i4>152</vt:i4>
      </vt:variant>
      <vt:variant>
        <vt:i4>0</vt:i4>
      </vt:variant>
      <vt:variant>
        <vt:i4>5</vt:i4>
      </vt:variant>
      <vt:variant>
        <vt:lpwstr/>
      </vt:variant>
      <vt:variant>
        <vt:lpwstr>_Toc256000025</vt:lpwstr>
      </vt:variant>
      <vt:variant>
        <vt:i4>1048628</vt:i4>
      </vt:variant>
      <vt:variant>
        <vt:i4>146</vt:i4>
      </vt:variant>
      <vt:variant>
        <vt:i4>0</vt:i4>
      </vt:variant>
      <vt:variant>
        <vt:i4>5</vt:i4>
      </vt:variant>
      <vt:variant>
        <vt:lpwstr/>
      </vt:variant>
      <vt:variant>
        <vt:lpwstr>_Toc256000024</vt:lpwstr>
      </vt:variant>
      <vt:variant>
        <vt:i4>1048628</vt:i4>
      </vt:variant>
      <vt:variant>
        <vt:i4>140</vt:i4>
      </vt:variant>
      <vt:variant>
        <vt:i4>0</vt:i4>
      </vt:variant>
      <vt:variant>
        <vt:i4>5</vt:i4>
      </vt:variant>
      <vt:variant>
        <vt:lpwstr/>
      </vt:variant>
      <vt:variant>
        <vt:lpwstr>_Toc256000023</vt:lpwstr>
      </vt:variant>
      <vt:variant>
        <vt:i4>1048628</vt:i4>
      </vt:variant>
      <vt:variant>
        <vt:i4>134</vt:i4>
      </vt:variant>
      <vt:variant>
        <vt:i4>0</vt:i4>
      </vt:variant>
      <vt:variant>
        <vt:i4>5</vt:i4>
      </vt:variant>
      <vt:variant>
        <vt:lpwstr/>
      </vt:variant>
      <vt:variant>
        <vt:lpwstr>_Toc256000022</vt:lpwstr>
      </vt:variant>
      <vt:variant>
        <vt:i4>1048628</vt:i4>
      </vt:variant>
      <vt:variant>
        <vt:i4>128</vt:i4>
      </vt:variant>
      <vt:variant>
        <vt:i4>0</vt:i4>
      </vt:variant>
      <vt:variant>
        <vt:i4>5</vt:i4>
      </vt:variant>
      <vt:variant>
        <vt:lpwstr/>
      </vt:variant>
      <vt:variant>
        <vt:lpwstr>_Toc256000021</vt:lpwstr>
      </vt:variant>
      <vt:variant>
        <vt:i4>1048628</vt:i4>
      </vt:variant>
      <vt:variant>
        <vt:i4>122</vt:i4>
      </vt:variant>
      <vt:variant>
        <vt:i4>0</vt:i4>
      </vt:variant>
      <vt:variant>
        <vt:i4>5</vt:i4>
      </vt:variant>
      <vt:variant>
        <vt:lpwstr/>
      </vt:variant>
      <vt:variant>
        <vt:lpwstr>_Toc256000020</vt:lpwstr>
      </vt:variant>
      <vt:variant>
        <vt:i4>1245236</vt:i4>
      </vt:variant>
      <vt:variant>
        <vt:i4>116</vt:i4>
      </vt:variant>
      <vt:variant>
        <vt:i4>0</vt:i4>
      </vt:variant>
      <vt:variant>
        <vt:i4>5</vt:i4>
      </vt:variant>
      <vt:variant>
        <vt:lpwstr/>
      </vt:variant>
      <vt:variant>
        <vt:lpwstr>_Toc256000019</vt:lpwstr>
      </vt:variant>
      <vt:variant>
        <vt:i4>1245236</vt:i4>
      </vt:variant>
      <vt:variant>
        <vt:i4>110</vt:i4>
      </vt:variant>
      <vt:variant>
        <vt:i4>0</vt:i4>
      </vt:variant>
      <vt:variant>
        <vt:i4>5</vt:i4>
      </vt:variant>
      <vt:variant>
        <vt:lpwstr/>
      </vt:variant>
      <vt:variant>
        <vt:lpwstr>_Toc256000018</vt:lpwstr>
      </vt:variant>
      <vt:variant>
        <vt:i4>1245236</vt:i4>
      </vt:variant>
      <vt:variant>
        <vt:i4>104</vt:i4>
      </vt:variant>
      <vt:variant>
        <vt:i4>0</vt:i4>
      </vt:variant>
      <vt:variant>
        <vt:i4>5</vt:i4>
      </vt:variant>
      <vt:variant>
        <vt:lpwstr/>
      </vt:variant>
      <vt:variant>
        <vt:lpwstr>_Toc256000017</vt:lpwstr>
      </vt: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cp:lastModifiedBy>Géraldine MIGNOT</cp:lastModifiedBy>
  <cp:revision>6</cp:revision>
  <cp:lastPrinted>2006-01-17T11:27:00Z</cp:lastPrinted>
  <dcterms:created xsi:type="dcterms:W3CDTF">2025-07-21T08:16:00Z</dcterms:created>
  <dcterms:modified xsi:type="dcterms:W3CDTF">2025-07-21T09:19:00Z</dcterms:modified>
</cp:coreProperties>
</file>